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DD" w:rsidRPr="00C61705" w:rsidRDefault="003630DD" w:rsidP="003630DD">
      <w:pPr>
        <w:tabs>
          <w:tab w:val="left" w:pos="1260"/>
        </w:tabs>
        <w:spacing w:after="0" w:line="240" w:lineRule="auto"/>
        <w:jc w:val="center"/>
        <w:outlineLvl w:val="0"/>
        <w:rPr>
          <w:rFonts w:ascii="Lucida Calligraphy" w:eastAsia="Times New Roman" w:hAnsi="Lucida Calligraphy" w:cs="Times New Roman"/>
          <w:b/>
          <w:sz w:val="28"/>
          <w:szCs w:val="28"/>
          <w:lang w:eastAsia="it-IT"/>
        </w:rPr>
      </w:pPr>
      <w:r w:rsidRPr="00C61705">
        <w:rPr>
          <w:rFonts w:ascii="Lucida Calligraphy" w:eastAsia="Times New Roman" w:hAnsi="Lucida Calligraphy" w:cs="Times New Roman"/>
          <w:b/>
          <w:sz w:val="28"/>
          <w:szCs w:val="28"/>
          <w:lang w:eastAsia="it-IT"/>
        </w:rPr>
        <w:t>Studio D’Agostino SRL – S.T.P.</w:t>
      </w:r>
    </w:p>
    <w:p w:rsidR="003630DD" w:rsidRPr="00C61705" w:rsidRDefault="003630DD" w:rsidP="003630DD">
      <w:pPr>
        <w:tabs>
          <w:tab w:val="left" w:pos="1260"/>
        </w:tabs>
        <w:spacing w:after="0" w:line="240" w:lineRule="auto"/>
        <w:jc w:val="center"/>
        <w:outlineLvl w:val="0"/>
        <w:rPr>
          <w:rFonts w:ascii="Arial Narrow" w:eastAsia="Times New Roman" w:hAnsi="Arial Narrow" w:cs="Times New Roman"/>
          <w:i/>
          <w:sz w:val="28"/>
          <w:szCs w:val="28"/>
          <w:lang w:eastAsia="it-IT"/>
        </w:rPr>
      </w:pPr>
      <w:r w:rsidRPr="00C61705">
        <w:rPr>
          <w:rFonts w:ascii="Arial Narrow" w:eastAsia="Times New Roman" w:hAnsi="Arial Narrow" w:cs="Times New Roman"/>
          <w:i/>
          <w:sz w:val="28"/>
          <w:szCs w:val="28"/>
          <w:lang w:eastAsia="it-IT"/>
        </w:rPr>
        <w:t xml:space="preserve">Contabile - Fiscale -Tributario - Contenzioso - Lavoro </w:t>
      </w:r>
    </w:p>
    <w:p w:rsidR="003630DD" w:rsidRPr="00C61705" w:rsidRDefault="003630DD" w:rsidP="003630DD">
      <w:pPr>
        <w:tabs>
          <w:tab w:val="left" w:pos="1260"/>
        </w:tabs>
        <w:spacing w:after="0" w:line="240" w:lineRule="auto"/>
        <w:jc w:val="center"/>
        <w:rPr>
          <w:rFonts w:ascii="Arial" w:eastAsia="Times New Roman" w:hAnsi="Arial" w:cs="Arial"/>
          <w:b/>
          <w:sz w:val="28"/>
          <w:szCs w:val="28"/>
          <w:lang w:eastAsia="it-IT"/>
        </w:rPr>
      </w:pPr>
      <w:r w:rsidRPr="00C61705">
        <w:rPr>
          <w:rFonts w:ascii="Arial" w:eastAsia="Times New Roman" w:hAnsi="Arial" w:cs="Arial"/>
          <w:sz w:val="28"/>
          <w:szCs w:val="28"/>
          <w:lang w:eastAsia="it-IT"/>
        </w:rPr>
        <w:t xml:space="preserve">  </w:t>
      </w:r>
      <w:r w:rsidRPr="00C61705">
        <w:rPr>
          <w:rFonts w:ascii="Arial" w:eastAsia="Times New Roman" w:hAnsi="Arial" w:cs="Arial"/>
          <w:b/>
          <w:sz w:val="28"/>
          <w:szCs w:val="28"/>
          <w:lang w:eastAsia="it-IT"/>
        </w:rPr>
        <w:t>Consulenza Assistenza Farmacie</w:t>
      </w:r>
    </w:p>
    <w:p w:rsidR="003630DD" w:rsidRPr="00C61705" w:rsidRDefault="003630DD" w:rsidP="003630DD">
      <w:pPr>
        <w:tabs>
          <w:tab w:val="left" w:pos="1260"/>
        </w:tabs>
        <w:spacing w:after="0" w:line="240" w:lineRule="auto"/>
        <w:jc w:val="center"/>
        <w:rPr>
          <w:rFonts w:ascii="Arial" w:eastAsia="Times New Roman" w:hAnsi="Arial" w:cs="Arial"/>
          <w:sz w:val="28"/>
          <w:szCs w:val="28"/>
          <w:lang w:eastAsia="it-IT"/>
        </w:rPr>
      </w:pPr>
      <w:r w:rsidRPr="00C61705">
        <w:rPr>
          <w:rFonts w:ascii="Arial" w:eastAsia="Times New Roman" w:hAnsi="Arial" w:cs="Arial"/>
          <w:sz w:val="28"/>
          <w:szCs w:val="28"/>
          <w:lang w:eastAsia="it-IT"/>
        </w:rPr>
        <w:t>Viale Ofanto, 216 - 71122 - FOGGIA</w:t>
      </w:r>
    </w:p>
    <w:p w:rsidR="003630DD" w:rsidRPr="00C61705" w:rsidRDefault="003630DD" w:rsidP="003630DD">
      <w:pPr>
        <w:tabs>
          <w:tab w:val="left" w:pos="1260"/>
        </w:tabs>
        <w:spacing w:after="0" w:line="240" w:lineRule="auto"/>
        <w:jc w:val="center"/>
        <w:rPr>
          <w:rFonts w:ascii="Arial" w:eastAsia="Times New Roman" w:hAnsi="Arial" w:cs="Arial"/>
          <w:sz w:val="28"/>
          <w:szCs w:val="28"/>
          <w:lang w:eastAsia="it-IT"/>
        </w:rPr>
      </w:pPr>
      <w:r w:rsidRPr="00C61705">
        <w:rPr>
          <w:rFonts w:ascii="Arial" w:eastAsia="Times New Roman" w:hAnsi="Arial" w:cs="Arial"/>
          <w:sz w:val="28"/>
          <w:szCs w:val="28"/>
          <w:lang w:eastAsia="it-IT"/>
        </w:rPr>
        <w:t>Tel.0881-662970 r.a. - Fax 0881-662974</w:t>
      </w:r>
    </w:p>
    <w:p w:rsidR="003630DD" w:rsidRPr="00C61705" w:rsidRDefault="003630DD" w:rsidP="003630DD">
      <w:pPr>
        <w:tabs>
          <w:tab w:val="left" w:pos="1260"/>
        </w:tabs>
        <w:spacing w:after="0" w:line="240" w:lineRule="auto"/>
        <w:jc w:val="center"/>
        <w:rPr>
          <w:rFonts w:ascii="Arial" w:eastAsia="Times New Roman" w:hAnsi="Arial" w:cs="Arial"/>
          <w:i/>
          <w:color w:val="000000"/>
          <w:sz w:val="28"/>
          <w:szCs w:val="28"/>
          <w:lang w:eastAsia="it-IT"/>
        </w:rPr>
      </w:pPr>
      <w:proofErr w:type="gramStart"/>
      <w:r w:rsidRPr="00C61705">
        <w:rPr>
          <w:rFonts w:ascii="Arial" w:eastAsia="Times New Roman" w:hAnsi="Arial" w:cs="Arial"/>
          <w:i/>
          <w:color w:val="000000"/>
          <w:sz w:val="28"/>
          <w:szCs w:val="28"/>
          <w:lang w:eastAsia="it-IT"/>
        </w:rPr>
        <w:t>www.dagostinostudio.it  -</w:t>
      </w:r>
      <w:proofErr w:type="gramEnd"/>
      <w:r w:rsidRPr="00C61705">
        <w:rPr>
          <w:rFonts w:ascii="Arial" w:eastAsia="Times New Roman" w:hAnsi="Arial" w:cs="Arial"/>
          <w:i/>
          <w:color w:val="000000"/>
          <w:sz w:val="28"/>
          <w:szCs w:val="28"/>
          <w:lang w:eastAsia="it-IT"/>
        </w:rPr>
        <w:t xml:space="preserve">  info@dagostinostudio.it</w:t>
      </w:r>
    </w:p>
    <w:p w:rsidR="003630DD" w:rsidRPr="00C61705" w:rsidRDefault="003630DD" w:rsidP="003630DD">
      <w:pPr>
        <w:tabs>
          <w:tab w:val="left" w:pos="1260"/>
        </w:tabs>
        <w:spacing w:after="0" w:line="240" w:lineRule="auto"/>
        <w:jc w:val="center"/>
        <w:rPr>
          <w:rFonts w:ascii="Arial" w:eastAsia="Times New Roman" w:hAnsi="Arial" w:cs="Arial"/>
          <w:b/>
          <w:i/>
          <w:sz w:val="28"/>
          <w:szCs w:val="28"/>
          <w:lang w:eastAsia="it-IT"/>
        </w:rPr>
      </w:pPr>
    </w:p>
    <w:p w:rsidR="003630DD" w:rsidRPr="00C61705" w:rsidRDefault="003630DD" w:rsidP="003630DD">
      <w:pPr>
        <w:spacing w:after="0" w:line="240" w:lineRule="auto"/>
        <w:jc w:val="center"/>
        <w:rPr>
          <w:rFonts w:ascii="Arial" w:eastAsia="Times New Roman" w:hAnsi="Arial" w:cs="Arial"/>
          <w:b/>
          <w:color w:val="FF0000"/>
          <w:sz w:val="28"/>
          <w:szCs w:val="28"/>
          <w:lang w:eastAsia="it-IT"/>
        </w:rPr>
      </w:pPr>
      <w:r w:rsidRPr="00C61705">
        <w:rPr>
          <w:rFonts w:ascii="Verdana" w:eastAsia="Times New Roman" w:hAnsi="Verdana" w:cs="Times New Roman"/>
          <w:b/>
          <w:sz w:val="28"/>
          <w:szCs w:val="28"/>
          <w:lang w:eastAsia="it-IT"/>
        </w:rPr>
        <w:t xml:space="preserve"> </w:t>
      </w:r>
    </w:p>
    <w:p w:rsidR="003630DD" w:rsidRPr="00C61705" w:rsidRDefault="003630DD" w:rsidP="003630DD">
      <w:pPr>
        <w:spacing w:after="0" w:line="240" w:lineRule="auto"/>
        <w:rPr>
          <w:rFonts w:ascii="Arial" w:eastAsia="Times New Roman" w:hAnsi="Arial" w:cs="Arial"/>
          <w:b/>
          <w:bCs/>
          <w:color w:val="0000FF"/>
          <w:sz w:val="28"/>
          <w:szCs w:val="28"/>
          <w:lang w:eastAsia="it-IT"/>
        </w:rPr>
      </w:pPr>
      <w:r w:rsidRPr="00C61705">
        <w:rPr>
          <w:rFonts w:ascii="Arial" w:eastAsia="Times New Roman" w:hAnsi="Arial" w:cs="Arial"/>
          <w:b/>
          <w:bCs/>
          <w:sz w:val="28"/>
          <w:szCs w:val="28"/>
          <w:lang w:eastAsia="it-IT"/>
        </w:rPr>
        <w:t xml:space="preserve">                                                             </w:t>
      </w:r>
      <w:r w:rsidRPr="00C61705">
        <w:rPr>
          <w:rFonts w:ascii="Arial" w:eastAsia="Times New Roman" w:hAnsi="Arial" w:cs="Arial"/>
          <w:b/>
          <w:bCs/>
          <w:color w:val="0000FF"/>
          <w:sz w:val="28"/>
          <w:szCs w:val="28"/>
          <w:lang w:eastAsia="it-IT"/>
        </w:rPr>
        <w:t>Alle Farmacie Interessate</w:t>
      </w:r>
    </w:p>
    <w:p w:rsidR="003630DD" w:rsidRPr="00C61705" w:rsidRDefault="003630DD" w:rsidP="003630DD">
      <w:pPr>
        <w:spacing w:after="0" w:line="240" w:lineRule="auto"/>
        <w:ind w:left="5664" w:firstLine="708"/>
        <w:rPr>
          <w:rFonts w:ascii="Arial" w:eastAsia="Times New Roman" w:hAnsi="Arial" w:cs="Arial"/>
          <w:b/>
          <w:sz w:val="28"/>
          <w:szCs w:val="28"/>
          <w:lang w:eastAsia="it-IT"/>
        </w:rPr>
      </w:pPr>
      <w:proofErr w:type="gramStart"/>
      <w:r w:rsidRPr="00C61705">
        <w:rPr>
          <w:rFonts w:ascii="Arial" w:eastAsia="Times New Roman" w:hAnsi="Arial" w:cs="Arial"/>
          <w:b/>
          <w:bCs/>
          <w:sz w:val="28"/>
          <w:szCs w:val="28"/>
          <w:u w:val="single"/>
          <w:lang w:eastAsia="it-IT"/>
        </w:rPr>
        <w:t>L  O</w:t>
      </w:r>
      <w:proofErr w:type="gramEnd"/>
      <w:r w:rsidRPr="00C61705">
        <w:rPr>
          <w:rFonts w:ascii="Arial" w:eastAsia="Times New Roman" w:hAnsi="Arial" w:cs="Arial"/>
          <w:b/>
          <w:bCs/>
          <w:sz w:val="28"/>
          <w:szCs w:val="28"/>
          <w:u w:val="single"/>
          <w:lang w:eastAsia="it-IT"/>
        </w:rPr>
        <w:t xml:space="preserve">  R   O   S  E  D  I</w:t>
      </w:r>
    </w:p>
    <w:p w:rsidR="003630DD" w:rsidRPr="00C61705" w:rsidRDefault="003630DD" w:rsidP="003630DD">
      <w:pPr>
        <w:spacing w:after="0" w:line="240" w:lineRule="auto"/>
        <w:jc w:val="both"/>
        <w:rPr>
          <w:rFonts w:ascii="Arial" w:eastAsia="Times New Roman" w:hAnsi="Arial" w:cs="Arial"/>
          <w:b/>
          <w:sz w:val="28"/>
          <w:szCs w:val="28"/>
          <w:lang w:eastAsia="it-IT"/>
        </w:rPr>
      </w:pPr>
    </w:p>
    <w:p w:rsidR="003630DD" w:rsidRPr="00C61705" w:rsidRDefault="003630DD" w:rsidP="003630DD">
      <w:pPr>
        <w:spacing w:after="0" w:line="360" w:lineRule="auto"/>
        <w:jc w:val="center"/>
        <w:outlineLvl w:val="0"/>
        <w:rPr>
          <w:rFonts w:ascii="Arial" w:eastAsia="Times New Roman" w:hAnsi="Arial" w:cs="Arial"/>
          <w:b/>
          <w:color w:val="000000"/>
          <w:sz w:val="24"/>
          <w:szCs w:val="24"/>
          <w:lang w:eastAsia="it-IT"/>
        </w:rPr>
      </w:pPr>
    </w:p>
    <w:p w:rsidR="003630DD" w:rsidRDefault="003630DD" w:rsidP="003630DD">
      <w:pPr>
        <w:spacing w:after="0" w:line="360" w:lineRule="auto"/>
        <w:jc w:val="center"/>
        <w:outlineLvl w:val="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CIRCOLARE N. 31</w:t>
      </w:r>
      <w:r>
        <w:rPr>
          <w:rFonts w:ascii="Arial" w:eastAsia="Times New Roman" w:hAnsi="Arial" w:cs="Arial"/>
          <w:b/>
          <w:color w:val="000000"/>
          <w:sz w:val="24"/>
          <w:szCs w:val="24"/>
          <w:lang w:eastAsia="it-IT"/>
        </w:rPr>
        <w:t xml:space="preserve"> del 04/08</w:t>
      </w:r>
      <w:r w:rsidRPr="00C61705">
        <w:rPr>
          <w:rFonts w:ascii="Arial" w:eastAsia="Times New Roman" w:hAnsi="Arial" w:cs="Arial"/>
          <w:b/>
          <w:color w:val="000000"/>
          <w:sz w:val="24"/>
          <w:szCs w:val="24"/>
          <w:lang w:eastAsia="it-IT"/>
        </w:rPr>
        <w:t>/2022</w:t>
      </w:r>
    </w:p>
    <w:p w:rsidR="003630DD" w:rsidRDefault="003630DD" w:rsidP="003630DD">
      <w:pPr>
        <w:spacing w:after="0" w:line="360" w:lineRule="auto"/>
        <w:jc w:val="center"/>
        <w:outlineLvl w:val="0"/>
        <w:rPr>
          <w:rFonts w:ascii="Arial" w:eastAsia="Times New Roman" w:hAnsi="Arial" w:cs="Arial"/>
          <w:b/>
          <w:color w:val="000000"/>
          <w:sz w:val="24"/>
          <w:szCs w:val="24"/>
          <w:lang w:eastAsia="it-IT"/>
        </w:rPr>
      </w:pPr>
    </w:p>
    <w:p w:rsidR="003630DD" w:rsidRDefault="003630DD" w:rsidP="003630DD">
      <w:pPr>
        <w:spacing w:after="0" w:line="360" w:lineRule="auto"/>
        <w:jc w:val="center"/>
        <w:outlineLvl w:val="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ISA – VALUTAZIONE AFFIDABILITA’ FISCALE SU PIU’ PERIODI</w:t>
      </w:r>
    </w:p>
    <w:p w:rsidR="003630DD" w:rsidRDefault="003630DD" w:rsidP="003630DD">
      <w:pPr>
        <w:spacing w:after="0" w:line="360" w:lineRule="auto"/>
        <w:jc w:val="center"/>
        <w:outlineLvl w:val="0"/>
        <w:rPr>
          <w:rFonts w:ascii="Arial" w:eastAsia="Times New Roman" w:hAnsi="Arial" w:cs="Arial"/>
          <w:b/>
          <w:color w:val="000000"/>
          <w:sz w:val="24"/>
          <w:szCs w:val="24"/>
          <w:lang w:eastAsia="it-IT"/>
        </w:rPr>
      </w:pPr>
    </w:p>
    <w:p w:rsidR="003630DD" w:rsidRPr="003630DD" w:rsidRDefault="003630DD" w:rsidP="003630DD">
      <w:pPr>
        <w:pStyle w:val="NormaleWeb"/>
        <w:shd w:val="clear" w:color="auto" w:fill="FFFFFF"/>
        <w:spacing w:before="0" w:beforeAutospacing="0" w:after="300" w:afterAutospacing="0" w:line="360" w:lineRule="auto"/>
        <w:jc w:val="both"/>
        <w:rPr>
          <w:rFonts w:ascii="Arial" w:hAnsi="Arial" w:cs="Arial"/>
          <w:color w:val="000000"/>
          <w:sz w:val="22"/>
          <w:szCs w:val="22"/>
        </w:rPr>
      </w:pPr>
      <w:r w:rsidRPr="003630DD">
        <w:rPr>
          <w:rFonts w:ascii="Arial" w:hAnsi="Arial" w:cs="Arial"/>
          <w:color w:val="000000"/>
          <w:sz w:val="22"/>
          <w:szCs w:val="22"/>
        </w:rPr>
        <w:t xml:space="preserve">Nella giornata di ieri il Senato ha approvato in via definitiva il Ddl. </w:t>
      </w:r>
      <w:proofErr w:type="gramStart"/>
      <w:r w:rsidRPr="003630DD">
        <w:rPr>
          <w:rFonts w:ascii="Arial" w:hAnsi="Arial" w:cs="Arial"/>
          <w:color w:val="000000"/>
          <w:sz w:val="22"/>
          <w:szCs w:val="22"/>
        </w:rPr>
        <w:t>di</w:t>
      </w:r>
      <w:proofErr w:type="gramEnd"/>
      <w:r w:rsidRPr="003630DD">
        <w:rPr>
          <w:rFonts w:ascii="Arial" w:hAnsi="Arial" w:cs="Arial"/>
          <w:color w:val="000000"/>
          <w:sz w:val="22"/>
          <w:szCs w:val="22"/>
        </w:rPr>
        <w:t xml:space="preserve"> conversione del DL 73/2022 (c.d. DL “Semplificazioni fiscali”). Nel corso dell’iter parlamentare, nessuna modifica è stata apportata all’art. 24 del decreto in tema di </w:t>
      </w:r>
      <w:r w:rsidRPr="003630DD">
        <w:rPr>
          <w:rFonts w:ascii="Arial" w:hAnsi="Arial" w:cs="Arial"/>
          <w:bCs/>
          <w:color w:val="000000"/>
          <w:sz w:val="22"/>
          <w:szCs w:val="22"/>
        </w:rPr>
        <w:t>indici</w:t>
      </w:r>
      <w:r w:rsidRPr="003630DD">
        <w:rPr>
          <w:rFonts w:ascii="Arial" w:hAnsi="Arial" w:cs="Arial"/>
          <w:color w:val="000000"/>
          <w:sz w:val="22"/>
          <w:szCs w:val="22"/>
        </w:rPr>
        <w:t> sintetici di </w:t>
      </w:r>
      <w:r w:rsidRPr="003630DD">
        <w:rPr>
          <w:rFonts w:ascii="Arial" w:hAnsi="Arial" w:cs="Arial"/>
          <w:bCs/>
          <w:color w:val="000000"/>
          <w:sz w:val="22"/>
          <w:szCs w:val="22"/>
        </w:rPr>
        <w:t>affidabilità fiscale</w:t>
      </w:r>
      <w:r w:rsidRPr="003630DD">
        <w:rPr>
          <w:rFonts w:ascii="Arial" w:hAnsi="Arial" w:cs="Arial"/>
          <w:color w:val="000000"/>
          <w:sz w:val="22"/>
          <w:szCs w:val="22"/>
        </w:rPr>
        <w:t>.</w:t>
      </w:r>
    </w:p>
    <w:p w:rsidR="003630DD" w:rsidRPr="003630DD" w:rsidRDefault="003630DD" w:rsidP="003630DD">
      <w:pPr>
        <w:pStyle w:val="NormaleWeb"/>
        <w:shd w:val="clear" w:color="auto" w:fill="FFFFFF"/>
        <w:spacing w:before="0" w:beforeAutospacing="0" w:after="300" w:afterAutospacing="0" w:line="360" w:lineRule="auto"/>
        <w:jc w:val="both"/>
        <w:rPr>
          <w:rFonts w:ascii="Arial" w:hAnsi="Arial" w:cs="Arial"/>
          <w:color w:val="000000"/>
          <w:sz w:val="22"/>
          <w:szCs w:val="22"/>
        </w:rPr>
      </w:pPr>
      <w:r w:rsidRPr="003630DD">
        <w:rPr>
          <w:rFonts w:ascii="Arial" w:hAnsi="Arial" w:cs="Arial"/>
          <w:color w:val="000000"/>
          <w:sz w:val="22"/>
          <w:szCs w:val="22"/>
        </w:rPr>
        <w:t>In dipendenza del perdurare delle criticità del quadro economico, vengono sostanzialmente estese le misure che erano state previste nel corso della pandemia dall’art. 148 del DL 34/2020, volte ad assicurare:</w:t>
      </w:r>
      <w:r>
        <w:rPr>
          <w:rFonts w:ascii="Arial" w:hAnsi="Arial" w:cs="Arial"/>
          <w:color w:val="000000"/>
          <w:sz w:val="22"/>
          <w:szCs w:val="22"/>
        </w:rPr>
        <w:br/>
        <w:t xml:space="preserve">- </w:t>
      </w:r>
      <w:r w:rsidRPr="003630DD">
        <w:rPr>
          <w:rFonts w:ascii="Arial" w:hAnsi="Arial" w:cs="Arial"/>
          <w:color w:val="000000"/>
          <w:sz w:val="22"/>
          <w:szCs w:val="22"/>
        </w:rPr>
        <w:t>da un lato, meccanismi di </w:t>
      </w:r>
      <w:r w:rsidRPr="003630DD">
        <w:rPr>
          <w:rFonts w:ascii="Arial" w:hAnsi="Arial" w:cs="Arial"/>
          <w:bCs/>
          <w:color w:val="000000"/>
          <w:sz w:val="22"/>
          <w:szCs w:val="22"/>
        </w:rPr>
        <w:t>adattamento</w:t>
      </w:r>
      <w:r w:rsidRPr="003630DD">
        <w:rPr>
          <w:rFonts w:ascii="Arial" w:hAnsi="Arial" w:cs="Arial"/>
          <w:color w:val="000000"/>
          <w:sz w:val="22"/>
          <w:szCs w:val="22"/>
        </w:rPr>
        <w:t> degli ISA in fase di applicazione;</w:t>
      </w:r>
      <w:r w:rsidRPr="003630DD">
        <w:rPr>
          <w:rFonts w:ascii="Arial" w:hAnsi="Arial" w:cs="Arial"/>
          <w:color w:val="000000"/>
          <w:sz w:val="22"/>
          <w:szCs w:val="22"/>
        </w:rPr>
        <w:br/>
        <w:t xml:space="preserve">- </w:t>
      </w:r>
      <w:r>
        <w:rPr>
          <w:rFonts w:ascii="Arial" w:hAnsi="Arial" w:cs="Arial"/>
          <w:color w:val="000000"/>
          <w:sz w:val="22"/>
          <w:szCs w:val="22"/>
        </w:rPr>
        <w:t xml:space="preserve"> </w:t>
      </w:r>
      <w:r w:rsidRPr="003630DD">
        <w:rPr>
          <w:rFonts w:ascii="Arial" w:hAnsi="Arial" w:cs="Arial"/>
          <w:color w:val="000000"/>
          <w:sz w:val="22"/>
          <w:szCs w:val="22"/>
        </w:rPr>
        <w:t>dall’altro, sistemi di valutazione dell’affidabilità del contribuente che tengano conto di </w:t>
      </w:r>
      <w:r w:rsidRPr="003630DD">
        <w:rPr>
          <w:rFonts w:ascii="Arial" w:hAnsi="Arial" w:cs="Arial"/>
          <w:bCs/>
          <w:color w:val="000000"/>
          <w:sz w:val="22"/>
          <w:szCs w:val="22"/>
        </w:rPr>
        <w:t>più periodi </w:t>
      </w:r>
      <w:r w:rsidRPr="003630DD">
        <w:rPr>
          <w:rFonts w:ascii="Arial" w:hAnsi="Arial" w:cs="Arial"/>
          <w:color w:val="000000"/>
          <w:sz w:val="22"/>
          <w:szCs w:val="22"/>
        </w:rPr>
        <w:t>d’imposta.</w:t>
      </w:r>
      <w:r w:rsidRPr="003630DD">
        <w:rPr>
          <w:rFonts w:ascii="Arial" w:hAnsi="Arial" w:cs="Arial"/>
          <w:color w:val="000000"/>
          <w:sz w:val="22"/>
          <w:szCs w:val="22"/>
        </w:rPr>
        <w:br/>
        <w:t>Più in particolare, sono estese al periodo d’imposta in corso al 31 dicembre 2022 le misure straordinarie, già previste con riferimento al 2020 e al 2021, volte a tener conto degli effetti di natura straordinaria della crisi economica sugli ISA (attraverso l’introduzione di appositi strumenti correttivi, analogamente a quanto effettuato negli ultimi due anni con i DM 29 aprile 2022 e 30 aprile 2021) e a introdurre specifiche cause di esclusione.</w:t>
      </w:r>
    </w:p>
    <w:p w:rsidR="003630DD" w:rsidRPr="003630DD" w:rsidRDefault="003630DD" w:rsidP="003630DD">
      <w:pPr>
        <w:pStyle w:val="NormaleWeb"/>
        <w:shd w:val="clear" w:color="auto" w:fill="FFFFFF"/>
        <w:spacing w:before="0" w:beforeAutospacing="0" w:after="300" w:afterAutospacing="0" w:line="360" w:lineRule="auto"/>
        <w:jc w:val="both"/>
        <w:rPr>
          <w:rFonts w:ascii="Arial" w:hAnsi="Arial" w:cs="Arial"/>
          <w:color w:val="000000"/>
          <w:sz w:val="22"/>
          <w:szCs w:val="22"/>
        </w:rPr>
      </w:pPr>
      <w:r w:rsidRPr="003630DD">
        <w:rPr>
          <w:rFonts w:ascii="Arial" w:hAnsi="Arial" w:cs="Arial"/>
          <w:color w:val="000000"/>
          <w:sz w:val="22"/>
          <w:szCs w:val="22"/>
        </w:rPr>
        <w:t>Viene anche confermato il </w:t>
      </w:r>
      <w:r w:rsidRPr="003630DD">
        <w:rPr>
          <w:rFonts w:ascii="Arial" w:hAnsi="Arial" w:cs="Arial"/>
          <w:bCs/>
          <w:color w:val="000000"/>
          <w:sz w:val="22"/>
          <w:szCs w:val="22"/>
        </w:rPr>
        <w:t>differimento</w:t>
      </w:r>
      <w:r w:rsidRPr="003630DD">
        <w:rPr>
          <w:rFonts w:ascii="Arial" w:hAnsi="Arial" w:cs="Arial"/>
          <w:color w:val="000000"/>
          <w:sz w:val="22"/>
          <w:szCs w:val="22"/>
        </w:rPr>
        <w:t> dei termini per l’approvazione degli ISA e delle rispettive integrazioni, messo a regime con una modifica del comma 2 dell’art. 9-</w:t>
      </w:r>
      <w:r w:rsidRPr="003630DD">
        <w:rPr>
          <w:rFonts w:ascii="Arial" w:hAnsi="Arial" w:cs="Arial"/>
          <w:i/>
          <w:iCs/>
          <w:color w:val="000000"/>
          <w:sz w:val="22"/>
          <w:szCs w:val="22"/>
        </w:rPr>
        <w:t>bis</w:t>
      </w:r>
      <w:r w:rsidRPr="003630DD">
        <w:rPr>
          <w:rFonts w:ascii="Arial" w:hAnsi="Arial" w:cs="Arial"/>
          <w:color w:val="000000"/>
          <w:sz w:val="22"/>
          <w:szCs w:val="22"/>
        </w:rPr>
        <w:t> del DL 50/2017. Nello specifico, gli ISA sono approvati con decreto entro il mese di </w:t>
      </w:r>
      <w:r w:rsidRPr="003630DD">
        <w:rPr>
          <w:rFonts w:ascii="Arial" w:hAnsi="Arial" w:cs="Arial"/>
          <w:bCs/>
          <w:color w:val="000000"/>
          <w:sz w:val="22"/>
          <w:szCs w:val="22"/>
        </w:rPr>
        <w:t>marzo</w:t>
      </w:r>
      <w:r w:rsidRPr="003630DD">
        <w:rPr>
          <w:rFonts w:ascii="Arial" w:hAnsi="Arial" w:cs="Arial"/>
          <w:color w:val="000000"/>
          <w:sz w:val="22"/>
          <w:szCs w:val="22"/>
        </w:rPr>
        <w:t> del periodo d’imposta successivo a quello per il quale sono applicati (anziché entro il 31 dicembre del periodo d’imposta per il quale sono applicati), mentre le modifiche agli ISA necessarie a tenere conto di situazioni di natura straordinaria sono approvate entro il mese di </w:t>
      </w:r>
      <w:r w:rsidRPr="003630DD">
        <w:rPr>
          <w:rFonts w:ascii="Arial" w:hAnsi="Arial" w:cs="Arial"/>
          <w:bCs/>
          <w:color w:val="000000"/>
          <w:sz w:val="22"/>
          <w:szCs w:val="22"/>
        </w:rPr>
        <w:t>aprile</w:t>
      </w:r>
      <w:r w:rsidRPr="003630DD">
        <w:rPr>
          <w:rFonts w:ascii="Arial" w:hAnsi="Arial" w:cs="Arial"/>
          <w:color w:val="000000"/>
          <w:sz w:val="22"/>
          <w:szCs w:val="22"/>
        </w:rPr>
        <w:t> del periodo d’imposta successivo a quello per il quale sono applicate (anziché entro il mese di febbraio).</w:t>
      </w:r>
    </w:p>
    <w:p w:rsidR="003630DD" w:rsidRPr="003630DD" w:rsidRDefault="003630DD" w:rsidP="003630DD">
      <w:pPr>
        <w:pStyle w:val="NormaleWeb"/>
        <w:shd w:val="clear" w:color="auto" w:fill="FFFFFF"/>
        <w:spacing w:before="0" w:beforeAutospacing="0" w:after="300" w:afterAutospacing="0" w:line="360" w:lineRule="auto"/>
        <w:jc w:val="both"/>
        <w:rPr>
          <w:rFonts w:ascii="Arial" w:hAnsi="Arial" w:cs="Arial"/>
          <w:color w:val="000000"/>
          <w:sz w:val="22"/>
          <w:szCs w:val="22"/>
        </w:rPr>
      </w:pPr>
      <w:r w:rsidRPr="003630DD">
        <w:rPr>
          <w:rFonts w:ascii="Arial" w:hAnsi="Arial" w:cs="Arial"/>
          <w:b/>
          <w:color w:val="000000"/>
          <w:sz w:val="22"/>
          <w:szCs w:val="22"/>
          <w:u w:val="single"/>
        </w:rPr>
        <w:lastRenderedPageBreak/>
        <w:t>Sotto il profilo dei controlli fiscali</w:t>
      </w:r>
      <w:r w:rsidRPr="003630DD">
        <w:rPr>
          <w:rFonts w:ascii="Arial" w:hAnsi="Arial" w:cs="Arial"/>
          <w:color w:val="000000"/>
          <w:sz w:val="22"/>
          <w:szCs w:val="22"/>
        </w:rPr>
        <w:t>, l’art. 9-</w:t>
      </w:r>
      <w:r w:rsidRPr="003630DD">
        <w:rPr>
          <w:rFonts w:ascii="Arial" w:hAnsi="Arial" w:cs="Arial"/>
          <w:i/>
          <w:iCs/>
          <w:color w:val="000000"/>
          <w:sz w:val="22"/>
          <w:szCs w:val="22"/>
        </w:rPr>
        <w:t>bis</w:t>
      </w:r>
      <w:r w:rsidRPr="003630DD">
        <w:rPr>
          <w:rFonts w:ascii="Arial" w:hAnsi="Arial" w:cs="Arial"/>
          <w:color w:val="000000"/>
          <w:sz w:val="22"/>
          <w:szCs w:val="22"/>
        </w:rPr>
        <w:t> comma 14 del DL 50/2017 stabilisce che il livello di affidabilità fiscale derivante dall’applicazione degli indici, nonché le informazioni presenti nell’Archivio dei rapporti finanziari dell’Anagrafe tributaria, sono considerate per definire specifiche strategie di controllo basate su </w:t>
      </w:r>
      <w:r w:rsidRPr="003630DD">
        <w:rPr>
          <w:rFonts w:ascii="Arial" w:hAnsi="Arial" w:cs="Arial"/>
          <w:bCs/>
          <w:color w:val="000000"/>
          <w:sz w:val="22"/>
          <w:szCs w:val="22"/>
        </w:rPr>
        <w:t>analisi del rischio</w:t>
      </w:r>
      <w:r w:rsidRPr="003630DD">
        <w:rPr>
          <w:rFonts w:ascii="Arial" w:hAnsi="Arial" w:cs="Arial"/>
          <w:color w:val="000000"/>
          <w:sz w:val="22"/>
          <w:szCs w:val="22"/>
        </w:rPr>
        <w:t> di evasione fiscale.</w:t>
      </w:r>
    </w:p>
    <w:p w:rsidR="003630DD" w:rsidRPr="003630DD" w:rsidRDefault="003630DD" w:rsidP="003630DD">
      <w:pPr>
        <w:pStyle w:val="NormaleWeb"/>
        <w:shd w:val="clear" w:color="auto" w:fill="FFFFFF"/>
        <w:spacing w:before="0" w:beforeAutospacing="0" w:after="300" w:afterAutospacing="0" w:line="360" w:lineRule="auto"/>
        <w:jc w:val="both"/>
        <w:rPr>
          <w:rFonts w:ascii="Arial" w:hAnsi="Arial" w:cs="Arial"/>
          <w:b/>
          <w:color w:val="000000"/>
          <w:sz w:val="22"/>
          <w:szCs w:val="22"/>
        </w:rPr>
      </w:pPr>
      <w:r w:rsidRPr="003630DD">
        <w:rPr>
          <w:rFonts w:ascii="Arial" w:hAnsi="Arial" w:cs="Arial"/>
          <w:color w:val="000000"/>
          <w:sz w:val="22"/>
          <w:szCs w:val="22"/>
        </w:rPr>
        <w:t xml:space="preserve">L’art. 148 comma 2 del DL 34/2020 aveva previsto che, nella definizione di tali piani di controllo, l’Agenzia delle Entrate e la Guardia di Finanza </w:t>
      </w:r>
      <w:r w:rsidRPr="003630DD">
        <w:rPr>
          <w:rFonts w:ascii="Arial" w:hAnsi="Arial" w:cs="Arial"/>
          <w:b/>
          <w:color w:val="000000"/>
          <w:sz w:val="22"/>
          <w:szCs w:val="22"/>
        </w:rPr>
        <w:t>effettuino una valutazione sull’affidabilità del contribuente basata su più anni,</w:t>
      </w:r>
      <w:r w:rsidRPr="003630DD">
        <w:rPr>
          <w:rFonts w:ascii="Arial" w:hAnsi="Arial" w:cs="Arial"/>
          <w:color w:val="000000"/>
          <w:sz w:val="22"/>
          <w:szCs w:val="22"/>
        </w:rPr>
        <w:t xml:space="preserve"> ossia tenendo conto per il periodo d’imposta 2018, anche del livello di affidabilità fiscale derivante dall’applicazione degli ISA per il periodo 2019 e, per il periodo d’imposta 2020, anche del livello di affidabilità fiscale più elevato derivante dall’applicazione degli ISA per i precedenti periodi d’imposta 2018 e 2019. A quest’ultimo proposito </w:t>
      </w:r>
      <w:r w:rsidRPr="003630DD">
        <w:rPr>
          <w:rFonts w:ascii="Arial" w:hAnsi="Arial" w:cs="Arial"/>
          <w:b/>
          <w:color w:val="000000"/>
          <w:sz w:val="22"/>
          <w:szCs w:val="22"/>
        </w:rPr>
        <w:t>la circ. n. 16/2020</w:t>
      </w:r>
      <w:r w:rsidRPr="003630DD">
        <w:rPr>
          <w:rFonts w:ascii="Arial" w:hAnsi="Arial" w:cs="Arial"/>
          <w:color w:val="000000"/>
          <w:sz w:val="22"/>
          <w:szCs w:val="22"/>
        </w:rPr>
        <w:t xml:space="preserve"> aveva precisato che, </w:t>
      </w:r>
      <w:r w:rsidRPr="003630DD">
        <w:rPr>
          <w:rFonts w:ascii="Arial" w:hAnsi="Arial" w:cs="Arial"/>
          <w:b/>
          <w:color w:val="000000"/>
          <w:sz w:val="22"/>
          <w:szCs w:val="22"/>
        </w:rPr>
        <w:t>qualora i punteggi ISA</w:t>
      </w:r>
      <w:r w:rsidRPr="003630DD">
        <w:rPr>
          <w:rFonts w:ascii="Arial" w:hAnsi="Arial" w:cs="Arial"/>
          <w:color w:val="000000"/>
          <w:sz w:val="22"/>
          <w:szCs w:val="22"/>
        </w:rPr>
        <w:t xml:space="preserve"> per il 2018 e il 2019 </w:t>
      </w:r>
      <w:r w:rsidRPr="003630DD">
        <w:rPr>
          <w:rFonts w:ascii="Arial" w:hAnsi="Arial" w:cs="Arial"/>
          <w:b/>
          <w:color w:val="000000"/>
          <w:sz w:val="22"/>
          <w:szCs w:val="22"/>
        </w:rPr>
        <w:t>“facessero emergere un punteggio indicativo di una </w:t>
      </w:r>
      <w:r w:rsidRPr="003630DD">
        <w:rPr>
          <w:rFonts w:ascii="Arial" w:hAnsi="Arial" w:cs="Arial"/>
          <w:b/>
          <w:bCs/>
          <w:color w:val="000000"/>
          <w:sz w:val="22"/>
          <w:szCs w:val="22"/>
        </w:rPr>
        <w:t>sostanziale affidabilità</w:t>
      </w:r>
      <w:r w:rsidRPr="003630DD">
        <w:rPr>
          <w:rFonts w:ascii="Arial" w:hAnsi="Arial" w:cs="Arial"/>
          <w:b/>
          <w:color w:val="000000"/>
          <w:sz w:val="22"/>
          <w:szCs w:val="22"/>
        </w:rPr>
        <w:t> del contribuente, porteranno a ritenere di scarso interesse la posizione del contribuente ai fini dell’analisi del rischio di evasione fiscale”.</w:t>
      </w:r>
    </w:p>
    <w:p w:rsidR="003630DD" w:rsidRDefault="003630DD" w:rsidP="003630DD">
      <w:pPr>
        <w:pStyle w:val="NormaleWeb"/>
        <w:shd w:val="clear" w:color="auto" w:fill="FFFFFF"/>
        <w:spacing w:before="0" w:beforeAutospacing="0" w:after="300" w:afterAutospacing="0" w:line="360" w:lineRule="auto"/>
        <w:jc w:val="both"/>
        <w:rPr>
          <w:rFonts w:ascii="Arial" w:hAnsi="Arial" w:cs="Arial"/>
          <w:color w:val="000000"/>
          <w:sz w:val="22"/>
          <w:szCs w:val="22"/>
        </w:rPr>
      </w:pPr>
      <w:r w:rsidRPr="003630DD">
        <w:rPr>
          <w:rFonts w:ascii="Arial" w:hAnsi="Arial" w:cs="Arial"/>
          <w:b/>
          <w:color w:val="0070C0"/>
          <w:sz w:val="22"/>
          <w:szCs w:val="22"/>
          <w:u w:val="single"/>
        </w:rPr>
        <w:t>Il DL “Semplificazioni fiscali” estende tale impostazione anche ai </w:t>
      </w:r>
      <w:r w:rsidRPr="003630DD">
        <w:rPr>
          <w:rFonts w:ascii="Arial" w:hAnsi="Arial" w:cs="Arial"/>
          <w:b/>
          <w:bCs/>
          <w:color w:val="0070C0"/>
          <w:sz w:val="22"/>
          <w:szCs w:val="22"/>
          <w:u w:val="single"/>
        </w:rPr>
        <w:t>periodi successivi</w:t>
      </w:r>
      <w:r w:rsidRPr="003630DD">
        <w:rPr>
          <w:rFonts w:ascii="Arial" w:hAnsi="Arial" w:cs="Arial"/>
          <w:b/>
          <w:color w:val="0070C0"/>
          <w:sz w:val="22"/>
          <w:szCs w:val="22"/>
          <w:u w:val="single"/>
        </w:rPr>
        <w:t>, prevedendo</w:t>
      </w:r>
      <w:r w:rsidRPr="003630DD">
        <w:rPr>
          <w:rFonts w:ascii="Arial" w:hAnsi="Arial" w:cs="Arial"/>
          <w:color w:val="0070C0"/>
          <w:sz w:val="22"/>
          <w:szCs w:val="22"/>
        </w:rPr>
        <w:t xml:space="preserve"> </w:t>
      </w:r>
      <w:r w:rsidRPr="003630DD">
        <w:rPr>
          <w:rFonts w:ascii="Arial" w:hAnsi="Arial" w:cs="Arial"/>
          <w:color w:val="000000"/>
          <w:sz w:val="22"/>
          <w:szCs w:val="22"/>
        </w:rPr>
        <w:t xml:space="preserve">che, </w:t>
      </w:r>
      <w:r w:rsidRPr="00624486">
        <w:rPr>
          <w:rFonts w:ascii="Arial" w:hAnsi="Arial" w:cs="Arial"/>
          <w:color w:val="0070C0"/>
          <w:sz w:val="22"/>
          <w:szCs w:val="22"/>
        </w:rPr>
        <w:t>nella definizione dei piani di controllo</w:t>
      </w:r>
      <w:r w:rsidRPr="003630DD">
        <w:rPr>
          <w:rFonts w:ascii="Arial" w:hAnsi="Arial" w:cs="Arial"/>
          <w:color w:val="000000"/>
          <w:sz w:val="22"/>
          <w:szCs w:val="22"/>
        </w:rPr>
        <w:t>, l’Agenzia delle Entrate e la Guardia di Finanza terranno conto:</w:t>
      </w:r>
    </w:p>
    <w:p w:rsidR="003630DD" w:rsidRPr="00624486" w:rsidRDefault="003630DD" w:rsidP="003630DD">
      <w:pPr>
        <w:pStyle w:val="NormaleWeb"/>
        <w:shd w:val="clear" w:color="auto" w:fill="FFFFFF"/>
        <w:spacing w:before="0" w:beforeAutospacing="0" w:after="300" w:afterAutospacing="0" w:line="360" w:lineRule="auto"/>
        <w:jc w:val="both"/>
        <w:rPr>
          <w:rFonts w:ascii="Arial" w:hAnsi="Arial" w:cs="Arial"/>
          <w:color w:val="0070C0"/>
          <w:sz w:val="22"/>
          <w:szCs w:val="22"/>
        </w:rPr>
      </w:pPr>
      <w:r w:rsidRPr="003630DD">
        <w:rPr>
          <w:rFonts w:ascii="Arial" w:hAnsi="Arial" w:cs="Arial"/>
          <w:color w:val="000000"/>
          <w:sz w:val="22"/>
          <w:szCs w:val="22"/>
        </w:rPr>
        <w:t xml:space="preserve">- </w:t>
      </w:r>
      <w:r w:rsidRPr="00624486">
        <w:rPr>
          <w:rFonts w:ascii="Arial" w:hAnsi="Arial" w:cs="Arial"/>
          <w:color w:val="0070C0"/>
          <w:sz w:val="22"/>
          <w:szCs w:val="22"/>
        </w:rPr>
        <w:t xml:space="preserve">per il periodo d’imposta in corso al 31 dicembre </w:t>
      </w:r>
      <w:r w:rsidRPr="00624486">
        <w:rPr>
          <w:rFonts w:ascii="Arial" w:hAnsi="Arial" w:cs="Arial"/>
          <w:b/>
          <w:color w:val="0070C0"/>
          <w:sz w:val="22"/>
          <w:szCs w:val="22"/>
        </w:rPr>
        <w:t>2021,</w:t>
      </w:r>
      <w:r w:rsidRPr="00624486">
        <w:rPr>
          <w:rFonts w:ascii="Arial" w:hAnsi="Arial" w:cs="Arial"/>
          <w:color w:val="0070C0"/>
          <w:sz w:val="22"/>
          <w:szCs w:val="22"/>
        </w:rPr>
        <w:t xml:space="preserve"> anche del livello di </w:t>
      </w:r>
      <w:r w:rsidRPr="00624486">
        <w:rPr>
          <w:rFonts w:ascii="Arial" w:hAnsi="Arial" w:cs="Arial"/>
          <w:b/>
          <w:color w:val="0070C0"/>
          <w:sz w:val="22"/>
          <w:szCs w:val="22"/>
        </w:rPr>
        <w:t>affidabilità fiscale</w:t>
      </w:r>
      <w:r w:rsidRPr="00624486">
        <w:rPr>
          <w:rFonts w:ascii="Arial" w:hAnsi="Arial" w:cs="Arial"/>
          <w:color w:val="0070C0"/>
          <w:sz w:val="22"/>
          <w:szCs w:val="22"/>
        </w:rPr>
        <w:t xml:space="preserve"> più elevato derivante dall’applicazione degli </w:t>
      </w:r>
      <w:r w:rsidRPr="00624486">
        <w:rPr>
          <w:rFonts w:ascii="Arial" w:hAnsi="Arial" w:cs="Arial"/>
          <w:b/>
          <w:color w:val="0070C0"/>
          <w:sz w:val="22"/>
          <w:szCs w:val="22"/>
        </w:rPr>
        <w:t>indici per i periodi</w:t>
      </w:r>
      <w:r w:rsidRPr="00624486">
        <w:rPr>
          <w:rFonts w:ascii="Arial" w:hAnsi="Arial" w:cs="Arial"/>
          <w:color w:val="0070C0"/>
          <w:sz w:val="22"/>
          <w:szCs w:val="22"/>
        </w:rPr>
        <w:t xml:space="preserve"> d’imposta in corso al 31 dicembre </w:t>
      </w:r>
      <w:r w:rsidRPr="00624486">
        <w:rPr>
          <w:rFonts w:ascii="Arial" w:hAnsi="Arial" w:cs="Arial"/>
          <w:b/>
          <w:color w:val="0070C0"/>
          <w:sz w:val="22"/>
          <w:szCs w:val="22"/>
        </w:rPr>
        <w:t>2019</w:t>
      </w:r>
      <w:r w:rsidRPr="00624486">
        <w:rPr>
          <w:rFonts w:ascii="Arial" w:hAnsi="Arial" w:cs="Arial"/>
          <w:color w:val="0070C0"/>
          <w:sz w:val="22"/>
          <w:szCs w:val="22"/>
        </w:rPr>
        <w:t xml:space="preserve"> e al 31 dicembre </w:t>
      </w:r>
      <w:r w:rsidRPr="00624486">
        <w:rPr>
          <w:rFonts w:ascii="Arial" w:hAnsi="Arial" w:cs="Arial"/>
          <w:b/>
          <w:color w:val="0070C0"/>
          <w:sz w:val="22"/>
          <w:szCs w:val="22"/>
        </w:rPr>
        <w:t>2020</w:t>
      </w:r>
      <w:r w:rsidRPr="00624486">
        <w:rPr>
          <w:rFonts w:ascii="Arial" w:hAnsi="Arial" w:cs="Arial"/>
          <w:color w:val="0070C0"/>
          <w:sz w:val="22"/>
          <w:szCs w:val="22"/>
        </w:rPr>
        <w:t>;</w:t>
      </w:r>
    </w:p>
    <w:p w:rsidR="003630DD" w:rsidRPr="00624486" w:rsidRDefault="003630DD" w:rsidP="003630DD">
      <w:pPr>
        <w:pStyle w:val="NormaleWeb"/>
        <w:shd w:val="clear" w:color="auto" w:fill="FFFFFF"/>
        <w:spacing w:before="0" w:beforeAutospacing="0" w:after="300" w:afterAutospacing="0" w:line="360" w:lineRule="auto"/>
        <w:jc w:val="both"/>
        <w:rPr>
          <w:rFonts w:ascii="Arial" w:hAnsi="Arial" w:cs="Arial"/>
          <w:color w:val="0070C0"/>
          <w:sz w:val="22"/>
          <w:szCs w:val="22"/>
        </w:rPr>
      </w:pPr>
      <w:r w:rsidRPr="00624486">
        <w:rPr>
          <w:rFonts w:ascii="Arial" w:hAnsi="Arial" w:cs="Arial"/>
          <w:color w:val="0070C0"/>
          <w:sz w:val="22"/>
          <w:szCs w:val="22"/>
        </w:rPr>
        <w:t xml:space="preserve">- per il periodo d’imposta in corso al 31 dicembre </w:t>
      </w:r>
      <w:r w:rsidRPr="00624486">
        <w:rPr>
          <w:rFonts w:ascii="Arial" w:hAnsi="Arial" w:cs="Arial"/>
          <w:b/>
          <w:color w:val="0070C0"/>
          <w:sz w:val="22"/>
          <w:szCs w:val="22"/>
        </w:rPr>
        <w:t>2022</w:t>
      </w:r>
      <w:r w:rsidRPr="00624486">
        <w:rPr>
          <w:rFonts w:ascii="Arial" w:hAnsi="Arial" w:cs="Arial"/>
          <w:color w:val="0070C0"/>
          <w:sz w:val="22"/>
          <w:szCs w:val="22"/>
        </w:rPr>
        <w:t xml:space="preserve">, anche del livello di affidabilità fiscale più elevato derivante dall’applicazione degli </w:t>
      </w:r>
      <w:r w:rsidRPr="00624486">
        <w:rPr>
          <w:rFonts w:ascii="Arial" w:hAnsi="Arial" w:cs="Arial"/>
          <w:b/>
          <w:color w:val="0070C0"/>
          <w:sz w:val="22"/>
          <w:szCs w:val="22"/>
        </w:rPr>
        <w:t>indici per i periodi</w:t>
      </w:r>
      <w:r w:rsidRPr="00624486">
        <w:rPr>
          <w:rFonts w:ascii="Arial" w:hAnsi="Arial" w:cs="Arial"/>
          <w:color w:val="0070C0"/>
          <w:sz w:val="22"/>
          <w:szCs w:val="22"/>
        </w:rPr>
        <w:t xml:space="preserve"> d’imposta in corso al 31 dicembre </w:t>
      </w:r>
      <w:r w:rsidRPr="00624486">
        <w:rPr>
          <w:rFonts w:ascii="Arial" w:hAnsi="Arial" w:cs="Arial"/>
          <w:b/>
          <w:color w:val="0070C0"/>
          <w:sz w:val="22"/>
          <w:szCs w:val="22"/>
        </w:rPr>
        <w:t xml:space="preserve">2020 </w:t>
      </w:r>
      <w:r w:rsidRPr="00624486">
        <w:rPr>
          <w:rFonts w:ascii="Arial" w:hAnsi="Arial" w:cs="Arial"/>
          <w:color w:val="0070C0"/>
          <w:sz w:val="22"/>
          <w:szCs w:val="22"/>
        </w:rPr>
        <w:t xml:space="preserve">e al 31 dicembre </w:t>
      </w:r>
      <w:r w:rsidRPr="00624486">
        <w:rPr>
          <w:rFonts w:ascii="Arial" w:hAnsi="Arial" w:cs="Arial"/>
          <w:b/>
          <w:color w:val="0070C0"/>
          <w:sz w:val="22"/>
          <w:szCs w:val="22"/>
        </w:rPr>
        <w:t>2021</w:t>
      </w:r>
      <w:r w:rsidRPr="00624486">
        <w:rPr>
          <w:rFonts w:ascii="Arial" w:hAnsi="Arial" w:cs="Arial"/>
          <w:color w:val="0070C0"/>
          <w:sz w:val="22"/>
          <w:szCs w:val="22"/>
        </w:rPr>
        <w:t>.</w:t>
      </w:r>
    </w:p>
    <w:p w:rsidR="003630DD" w:rsidRPr="004B1F56" w:rsidRDefault="003630DD" w:rsidP="003630DD">
      <w:pPr>
        <w:pStyle w:val="NormaleWeb"/>
        <w:shd w:val="clear" w:color="auto" w:fill="FFFFFF"/>
        <w:spacing w:before="0" w:beforeAutospacing="0" w:after="300" w:afterAutospacing="0" w:line="360" w:lineRule="auto"/>
        <w:jc w:val="both"/>
        <w:rPr>
          <w:rFonts w:ascii="Arial" w:hAnsi="Arial" w:cs="Arial"/>
          <w:b/>
          <w:color w:val="FF0000"/>
          <w:sz w:val="22"/>
          <w:szCs w:val="22"/>
          <w:u w:val="single"/>
        </w:rPr>
      </w:pPr>
      <w:bookmarkStart w:id="0" w:name="_GoBack"/>
      <w:r w:rsidRPr="004B1F56">
        <w:rPr>
          <w:rFonts w:ascii="Arial" w:hAnsi="Arial" w:cs="Arial"/>
          <w:b/>
          <w:color w:val="FF0000"/>
          <w:sz w:val="22"/>
          <w:szCs w:val="22"/>
          <w:u w:val="single"/>
        </w:rPr>
        <w:t>Si ricorda che, ai fini della definizione di tali strategie di controllo, l’Agenzia delle Entrate tiene conto di un livello di affidabilità minore o uguale a 6 (provv. n. 126200/2019).</w:t>
      </w:r>
    </w:p>
    <w:bookmarkEnd w:id="0"/>
    <w:p w:rsidR="00624486" w:rsidRDefault="00624486" w:rsidP="003630DD">
      <w:pPr>
        <w:pStyle w:val="NormaleWeb"/>
        <w:shd w:val="clear" w:color="auto" w:fill="FFFFFF"/>
        <w:spacing w:before="0" w:beforeAutospacing="0" w:after="300" w:afterAutospacing="0" w:line="360" w:lineRule="auto"/>
        <w:jc w:val="both"/>
        <w:rPr>
          <w:rFonts w:ascii="Arial" w:hAnsi="Arial" w:cs="Arial"/>
          <w:sz w:val="22"/>
          <w:szCs w:val="22"/>
        </w:rPr>
      </w:pPr>
      <w:r>
        <w:rPr>
          <w:rFonts w:ascii="Arial" w:hAnsi="Arial" w:cs="Arial"/>
          <w:sz w:val="22"/>
          <w:szCs w:val="22"/>
        </w:rPr>
        <w:t>Cordiali saluti</w:t>
      </w:r>
    </w:p>
    <w:p w:rsidR="00624486" w:rsidRPr="00624486" w:rsidRDefault="00624486" w:rsidP="003630DD">
      <w:pPr>
        <w:pStyle w:val="NormaleWeb"/>
        <w:shd w:val="clear" w:color="auto" w:fill="FFFFFF"/>
        <w:spacing w:before="0" w:beforeAutospacing="0" w:after="300" w:afterAutospacing="0" w:line="360" w:lineRule="auto"/>
        <w:jc w:val="both"/>
        <w:rPr>
          <w:rFonts w:ascii="Arial" w:hAnsi="Arial" w:cs="Arial"/>
          <w:sz w:val="22"/>
          <w:szCs w:val="22"/>
        </w:rPr>
      </w:pPr>
      <w:r>
        <w:rPr>
          <w:rFonts w:ascii="Arial" w:hAnsi="Arial" w:cs="Arial"/>
          <w:sz w:val="22"/>
          <w:szCs w:val="22"/>
        </w:rPr>
        <w:t>Studio D’Agostino</w:t>
      </w:r>
    </w:p>
    <w:p w:rsidR="003630DD" w:rsidRPr="003630DD" w:rsidRDefault="003630DD" w:rsidP="003630DD">
      <w:pPr>
        <w:spacing w:after="0" w:line="360" w:lineRule="auto"/>
        <w:jc w:val="both"/>
        <w:outlineLvl w:val="0"/>
        <w:rPr>
          <w:rFonts w:ascii="Arial" w:eastAsia="Times New Roman" w:hAnsi="Arial" w:cs="Arial"/>
          <w:b/>
          <w:color w:val="000000"/>
          <w:lang w:eastAsia="it-IT"/>
        </w:rPr>
      </w:pPr>
    </w:p>
    <w:sectPr w:rsidR="003630DD" w:rsidRPr="00363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DD"/>
    <w:rsid w:val="001C6D71"/>
    <w:rsid w:val="003630DD"/>
    <w:rsid w:val="00472A93"/>
    <w:rsid w:val="004B1F56"/>
    <w:rsid w:val="00624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3333E-2306-4059-B454-061A1670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30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630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articolo">
    <w:name w:val="linkarticolo"/>
    <w:basedOn w:val="Carpredefinitoparagrafo"/>
    <w:rsid w:val="003630DD"/>
  </w:style>
  <w:style w:type="character" w:styleId="Collegamentoipertestuale">
    <w:name w:val="Hyperlink"/>
    <w:basedOn w:val="Carpredefinitoparagrafo"/>
    <w:uiPriority w:val="99"/>
    <w:semiHidden/>
    <w:unhideWhenUsed/>
    <w:rsid w:val="00363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0698">
      <w:bodyDiv w:val="1"/>
      <w:marLeft w:val="0"/>
      <w:marRight w:val="0"/>
      <w:marTop w:val="0"/>
      <w:marBottom w:val="0"/>
      <w:divBdr>
        <w:top w:val="none" w:sz="0" w:space="0" w:color="auto"/>
        <w:left w:val="none" w:sz="0" w:space="0" w:color="auto"/>
        <w:bottom w:val="none" w:sz="0" w:space="0" w:color="auto"/>
        <w:right w:val="none" w:sz="0" w:space="0" w:color="auto"/>
      </w:divBdr>
    </w:div>
    <w:div w:id="19765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655</Words>
  <Characters>3738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2022-08-04T09:59:00Z</dcterms:created>
  <dcterms:modified xsi:type="dcterms:W3CDTF">2022-08-04T10:18:00Z</dcterms:modified>
</cp:coreProperties>
</file>