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85" w:rsidRPr="00C61705" w:rsidRDefault="00BE4485" w:rsidP="00BE4485">
      <w:pPr>
        <w:tabs>
          <w:tab w:val="left" w:pos="1260"/>
        </w:tabs>
        <w:spacing w:after="0" w:line="240" w:lineRule="auto"/>
        <w:jc w:val="center"/>
        <w:outlineLvl w:val="0"/>
        <w:rPr>
          <w:rFonts w:ascii="Lucida Calligraphy" w:eastAsia="Times New Roman" w:hAnsi="Lucida Calligraphy" w:cs="Times New Roman"/>
          <w:b/>
          <w:sz w:val="28"/>
          <w:szCs w:val="28"/>
          <w:lang w:eastAsia="it-IT"/>
        </w:rPr>
      </w:pPr>
      <w:bookmarkStart w:id="0" w:name="_GoBack"/>
      <w:bookmarkEnd w:id="0"/>
      <w:r w:rsidRPr="00C61705">
        <w:rPr>
          <w:rFonts w:ascii="Lucida Calligraphy" w:eastAsia="Times New Roman" w:hAnsi="Lucida Calligraphy" w:cs="Times New Roman"/>
          <w:b/>
          <w:sz w:val="28"/>
          <w:szCs w:val="28"/>
          <w:lang w:eastAsia="it-IT"/>
        </w:rPr>
        <w:t>Studio D’Agostino SRL – S.T.P.</w:t>
      </w:r>
    </w:p>
    <w:p w:rsidR="00BE4485" w:rsidRPr="00C61705" w:rsidRDefault="00BE4485" w:rsidP="00BE4485">
      <w:pPr>
        <w:tabs>
          <w:tab w:val="left" w:pos="1260"/>
        </w:tabs>
        <w:spacing w:after="0" w:line="240" w:lineRule="auto"/>
        <w:jc w:val="center"/>
        <w:outlineLvl w:val="0"/>
        <w:rPr>
          <w:rFonts w:ascii="Arial Narrow" w:eastAsia="Times New Roman" w:hAnsi="Arial Narrow" w:cs="Times New Roman"/>
          <w:i/>
          <w:sz w:val="28"/>
          <w:szCs w:val="28"/>
          <w:lang w:eastAsia="it-IT"/>
        </w:rPr>
      </w:pPr>
      <w:r w:rsidRPr="00C61705">
        <w:rPr>
          <w:rFonts w:ascii="Arial Narrow" w:eastAsia="Times New Roman" w:hAnsi="Arial Narrow" w:cs="Times New Roman"/>
          <w:i/>
          <w:sz w:val="28"/>
          <w:szCs w:val="28"/>
          <w:lang w:eastAsia="it-IT"/>
        </w:rPr>
        <w:t xml:space="preserve">Contabile - Fiscale -Tributario - Contenzioso - Lavoro </w:t>
      </w:r>
    </w:p>
    <w:p w:rsidR="00BE4485" w:rsidRPr="00C61705" w:rsidRDefault="00BE4485" w:rsidP="00BE4485">
      <w:pPr>
        <w:tabs>
          <w:tab w:val="left" w:pos="1260"/>
        </w:tabs>
        <w:spacing w:after="0" w:line="240" w:lineRule="auto"/>
        <w:jc w:val="center"/>
        <w:rPr>
          <w:rFonts w:ascii="Arial" w:eastAsia="Times New Roman" w:hAnsi="Arial" w:cs="Arial"/>
          <w:b/>
          <w:sz w:val="28"/>
          <w:szCs w:val="28"/>
          <w:lang w:eastAsia="it-IT"/>
        </w:rPr>
      </w:pPr>
      <w:r w:rsidRPr="00C61705">
        <w:rPr>
          <w:rFonts w:ascii="Arial" w:eastAsia="Times New Roman" w:hAnsi="Arial" w:cs="Arial"/>
          <w:sz w:val="28"/>
          <w:szCs w:val="28"/>
          <w:lang w:eastAsia="it-IT"/>
        </w:rPr>
        <w:t xml:space="preserve">  </w:t>
      </w:r>
      <w:r w:rsidRPr="00C61705">
        <w:rPr>
          <w:rFonts w:ascii="Arial" w:eastAsia="Times New Roman" w:hAnsi="Arial" w:cs="Arial"/>
          <w:b/>
          <w:sz w:val="28"/>
          <w:szCs w:val="28"/>
          <w:lang w:eastAsia="it-IT"/>
        </w:rPr>
        <w:t>Consulenza Assistenza Farmacie</w:t>
      </w:r>
    </w:p>
    <w:p w:rsidR="00BE4485" w:rsidRPr="00C61705" w:rsidRDefault="00BE4485" w:rsidP="00BE4485">
      <w:pPr>
        <w:tabs>
          <w:tab w:val="left" w:pos="1260"/>
        </w:tabs>
        <w:spacing w:after="0" w:line="240" w:lineRule="auto"/>
        <w:jc w:val="center"/>
        <w:rPr>
          <w:rFonts w:ascii="Arial" w:eastAsia="Times New Roman" w:hAnsi="Arial" w:cs="Arial"/>
          <w:sz w:val="28"/>
          <w:szCs w:val="28"/>
          <w:lang w:eastAsia="it-IT"/>
        </w:rPr>
      </w:pPr>
      <w:r w:rsidRPr="00C61705">
        <w:rPr>
          <w:rFonts w:ascii="Arial" w:eastAsia="Times New Roman" w:hAnsi="Arial" w:cs="Arial"/>
          <w:sz w:val="28"/>
          <w:szCs w:val="28"/>
          <w:lang w:eastAsia="it-IT"/>
        </w:rPr>
        <w:t>Viale Ofanto, 216 - 71122 - FOGGIA</w:t>
      </w:r>
    </w:p>
    <w:p w:rsidR="00BE4485" w:rsidRPr="00C61705" w:rsidRDefault="00BE4485" w:rsidP="00BE4485">
      <w:pPr>
        <w:tabs>
          <w:tab w:val="left" w:pos="1260"/>
        </w:tabs>
        <w:spacing w:after="0" w:line="240" w:lineRule="auto"/>
        <w:jc w:val="center"/>
        <w:rPr>
          <w:rFonts w:ascii="Arial" w:eastAsia="Times New Roman" w:hAnsi="Arial" w:cs="Arial"/>
          <w:sz w:val="28"/>
          <w:szCs w:val="28"/>
          <w:lang w:eastAsia="it-IT"/>
        </w:rPr>
      </w:pPr>
      <w:r w:rsidRPr="00C61705">
        <w:rPr>
          <w:rFonts w:ascii="Arial" w:eastAsia="Times New Roman" w:hAnsi="Arial" w:cs="Arial"/>
          <w:sz w:val="28"/>
          <w:szCs w:val="28"/>
          <w:lang w:eastAsia="it-IT"/>
        </w:rPr>
        <w:t>Tel.0881-662970 r.a. - Fax 0881-662974</w:t>
      </w:r>
    </w:p>
    <w:p w:rsidR="00BE4485" w:rsidRPr="00C61705" w:rsidRDefault="00BE4485" w:rsidP="00BE4485">
      <w:pPr>
        <w:tabs>
          <w:tab w:val="left" w:pos="1260"/>
        </w:tabs>
        <w:spacing w:after="0" w:line="240" w:lineRule="auto"/>
        <w:jc w:val="center"/>
        <w:rPr>
          <w:rFonts w:ascii="Arial" w:eastAsia="Times New Roman" w:hAnsi="Arial" w:cs="Arial"/>
          <w:i/>
          <w:color w:val="000000"/>
          <w:sz w:val="28"/>
          <w:szCs w:val="28"/>
          <w:lang w:eastAsia="it-IT"/>
        </w:rPr>
      </w:pPr>
      <w:proofErr w:type="gramStart"/>
      <w:r w:rsidRPr="00C61705">
        <w:rPr>
          <w:rFonts w:ascii="Arial" w:eastAsia="Times New Roman" w:hAnsi="Arial" w:cs="Arial"/>
          <w:i/>
          <w:color w:val="000000"/>
          <w:sz w:val="28"/>
          <w:szCs w:val="28"/>
          <w:lang w:eastAsia="it-IT"/>
        </w:rPr>
        <w:t>www.dagostinostudio.it  -</w:t>
      </w:r>
      <w:proofErr w:type="gramEnd"/>
      <w:r w:rsidRPr="00C61705">
        <w:rPr>
          <w:rFonts w:ascii="Arial" w:eastAsia="Times New Roman" w:hAnsi="Arial" w:cs="Arial"/>
          <w:i/>
          <w:color w:val="000000"/>
          <w:sz w:val="28"/>
          <w:szCs w:val="28"/>
          <w:lang w:eastAsia="it-IT"/>
        </w:rPr>
        <w:t xml:space="preserve">  info@dagostinostudio.it</w:t>
      </w:r>
    </w:p>
    <w:p w:rsidR="00BE4485" w:rsidRPr="00C61705" w:rsidRDefault="00BE4485" w:rsidP="00BE4485">
      <w:pPr>
        <w:tabs>
          <w:tab w:val="left" w:pos="1260"/>
        </w:tabs>
        <w:spacing w:after="0" w:line="240" w:lineRule="auto"/>
        <w:jc w:val="center"/>
        <w:rPr>
          <w:rFonts w:ascii="Arial" w:eastAsia="Times New Roman" w:hAnsi="Arial" w:cs="Arial"/>
          <w:b/>
          <w:i/>
          <w:sz w:val="28"/>
          <w:szCs w:val="28"/>
          <w:lang w:eastAsia="it-IT"/>
        </w:rPr>
      </w:pPr>
    </w:p>
    <w:p w:rsidR="00BE4485" w:rsidRPr="00C61705" w:rsidRDefault="00BE4485" w:rsidP="00BE4485">
      <w:pPr>
        <w:spacing w:after="0" w:line="240" w:lineRule="auto"/>
        <w:jc w:val="center"/>
        <w:rPr>
          <w:rFonts w:ascii="Arial" w:eastAsia="Times New Roman" w:hAnsi="Arial" w:cs="Arial"/>
          <w:b/>
          <w:color w:val="FF0000"/>
          <w:sz w:val="28"/>
          <w:szCs w:val="28"/>
          <w:lang w:eastAsia="it-IT"/>
        </w:rPr>
      </w:pPr>
      <w:r w:rsidRPr="00C61705">
        <w:rPr>
          <w:rFonts w:ascii="Verdana" w:eastAsia="Times New Roman" w:hAnsi="Verdana" w:cs="Times New Roman"/>
          <w:b/>
          <w:sz w:val="28"/>
          <w:szCs w:val="28"/>
          <w:lang w:eastAsia="it-IT"/>
        </w:rPr>
        <w:t xml:space="preserve"> </w:t>
      </w:r>
    </w:p>
    <w:p w:rsidR="00BE4485" w:rsidRPr="00C61705" w:rsidRDefault="00BE4485" w:rsidP="00BE4485">
      <w:pPr>
        <w:spacing w:after="0" w:line="240" w:lineRule="auto"/>
        <w:rPr>
          <w:rFonts w:ascii="Arial" w:eastAsia="Times New Roman" w:hAnsi="Arial" w:cs="Arial"/>
          <w:b/>
          <w:bCs/>
          <w:color w:val="0000FF"/>
          <w:sz w:val="28"/>
          <w:szCs w:val="28"/>
          <w:lang w:eastAsia="it-IT"/>
        </w:rPr>
      </w:pPr>
      <w:r w:rsidRPr="00C61705">
        <w:rPr>
          <w:rFonts w:ascii="Arial" w:eastAsia="Times New Roman" w:hAnsi="Arial" w:cs="Arial"/>
          <w:b/>
          <w:bCs/>
          <w:sz w:val="28"/>
          <w:szCs w:val="28"/>
          <w:lang w:eastAsia="it-IT"/>
        </w:rPr>
        <w:t xml:space="preserve">                                                             </w:t>
      </w:r>
      <w:r w:rsidRPr="00C61705">
        <w:rPr>
          <w:rFonts w:ascii="Arial" w:eastAsia="Times New Roman" w:hAnsi="Arial" w:cs="Arial"/>
          <w:b/>
          <w:bCs/>
          <w:color w:val="0000FF"/>
          <w:sz w:val="28"/>
          <w:szCs w:val="28"/>
          <w:lang w:eastAsia="it-IT"/>
        </w:rPr>
        <w:t>Alle Farmacie Interessate</w:t>
      </w:r>
    </w:p>
    <w:p w:rsidR="00BE4485" w:rsidRPr="00C61705" w:rsidRDefault="00BE4485" w:rsidP="00BE4485">
      <w:pPr>
        <w:spacing w:after="0" w:line="240" w:lineRule="auto"/>
        <w:ind w:left="5664" w:firstLine="708"/>
        <w:rPr>
          <w:rFonts w:ascii="Arial" w:eastAsia="Times New Roman" w:hAnsi="Arial" w:cs="Arial"/>
          <w:b/>
          <w:sz w:val="28"/>
          <w:szCs w:val="28"/>
          <w:lang w:eastAsia="it-IT"/>
        </w:rPr>
      </w:pPr>
      <w:proofErr w:type="gramStart"/>
      <w:r w:rsidRPr="00C61705">
        <w:rPr>
          <w:rFonts w:ascii="Arial" w:eastAsia="Times New Roman" w:hAnsi="Arial" w:cs="Arial"/>
          <w:b/>
          <w:bCs/>
          <w:sz w:val="28"/>
          <w:szCs w:val="28"/>
          <w:u w:val="single"/>
          <w:lang w:eastAsia="it-IT"/>
        </w:rPr>
        <w:t>L  O</w:t>
      </w:r>
      <w:proofErr w:type="gramEnd"/>
      <w:r w:rsidRPr="00C61705">
        <w:rPr>
          <w:rFonts w:ascii="Arial" w:eastAsia="Times New Roman" w:hAnsi="Arial" w:cs="Arial"/>
          <w:b/>
          <w:bCs/>
          <w:sz w:val="28"/>
          <w:szCs w:val="28"/>
          <w:u w:val="single"/>
          <w:lang w:eastAsia="it-IT"/>
        </w:rPr>
        <w:t xml:space="preserve">  R   O   S  E  D  I</w:t>
      </w:r>
    </w:p>
    <w:p w:rsidR="00BE4485" w:rsidRPr="00C61705" w:rsidRDefault="00BE4485" w:rsidP="00BE4485">
      <w:pPr>
        <w:spacing w:after="0" w:line="240" w:lineRule="auto"/>
        <w:jc w:val="both"/>
        <w:rPr>
          <w:rFonts w:ascii="Arial" w:eastAsia="Times New Roman" w:hAnsi="Arial" w:cs="Arial"/>
          <w:b/>
          <w:sz w:val="28"/>
          <w:szCs w:val="28"/>
          <w:lang w:eastAsia="it-IT"/>
        </w:rPr>
      </w:pPr>
    </w:p>
    <w:p w:rsidR="00BE4485" w:rsidRPr="00C61705" w:rsidRDefault="00BE4485" w:rsidP="00BE4485">
      <w:pPr>
        <w:spacing w:after="0" w:line="360" w:lineRule="auto"/>
        <w:jc w:val="center"/>
        <w:outlineLvl w:val="0"/>
        <w:rPr>
          <w:rFonts w:ascii="Arial" w:eastAsia="Times New Roman" w:hAnsi="Arial" w:cs="Arial"/>
          <w:b/>
          <w:color w:val="000000"/>
          <w:sz w:val="24"/>
          <w:szCs w:val="24"/>
          <w:lang w:eastAsia="it-IT"/>
        </w:rPr>
      </w:pPr>
    </w:p>
    <w:p w:rsidR="00BE4485" w:rsidRDefault="00BE4485" w:rsidP="00BE4485">
      <w:pPr>
        <w:spacing w:after="0" w:line="360" w:lineRule="auto"/>
        <w:jc w:val="center"/>
        <w:outlineLvl w:val="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 xml:space="preserve">CIRCOLARE N.  </w:t>
      </w:r>
      <w:r w:rsidR="00ED5E6F">
        <w:rPr>
          <w:rFonts w:ascii="Arial" w:eastAsia="Times New Roman" w:hAnsi="Arial" w:cs="Arial"/>
          <w:b/>
          <w:color w:val="000000"/>
          <w:sz w:val="24"/>
          <w:szCs w:val="24"/>
          <w:lang w:eastAsia="it-IT"/>
        </w:rPr>
        <w:t xml:space="preserve">32 </w:t>
      </w:r>
      <w:r>
        <w:rPr>
          <w:rFonts w:ascii="Arial" w:eastAsia="Times New Roman" w:hAnsi="Arial" w:cs="Arial"/>
          <w:b/>
          <w:color w:val="000000"/>
          <w:sz w:val="24"/>
          <w:szCs w:val="24"/>
          <w:lang w:eastAsia="it-IT"/>
        </w:rPr>
        <w:t>del 30/08</w:t>
      </w:r>
      <w:r w:rsidRPr="00C61705">
        <w:rPr>
          <w:rFonts w:ascii="Arial" w:eastAsia="Times New Roman" w:hAnsi="Arial" w:cs="Arial"/>
          <w:b/>
          <w:color w:val="000000"/>
          <w:sz w:val="24"/>
          <w:szCs w:val="24"/>
          <w:lang w:eastAsia="it-IT"/>
        </w:rPr>
        <w:t>/2022</w:t>
      </w:r>
    </w:p>
    <w:p w:rsidR="00BE4485" w:rsidRDefault="00BE4485" w:rsidP="00C95436">
      <w:pPr>
        <w:spacing w:line="360" w:lineRule="auto"/>
        <w:jc w:val="center"/>
        <w:rPr>
          <w:rFonts w:ascii="Arial" w:hAnsi="Arial" w:cs="Arial"/>
          <w:b/>
        </w:rPr>
      </w:pPr>
    </w:p>
    <w:p w:rsidR="00BE4485" w:rsidRDefault="00BE4485" w:rsidP="00C95436">
      <w:pPr>
        <w:spacing w:line="360" w:lineRule="auto"/>
        <w:jc w:val="center"/>
        <w:rPr>
          <w:rFonts w:ascii="Arial" w:hAnsi="Arial" w:cs="Arial"/>
          <w:b/>
        </w:rPr>
      </w:pPr>
    </w:p>
    <w:p w:rsidR="00C95436" w:rsidRDefault="00C95436" w:rsidP="00C95436">
      <w:pPr>
        <w:spacing w:line="360" w:lineRule="auto"/>
        <w:jc w:val="center"/>
        <w:rPr>
          <w:rFonts w:ascii="Arial" w:hAnsi="Arial" w:cs="Arial"/>
          <w:b/>
        </w:rPr>
      </w:pPr>
      <w:r w:rsidRPr="00C95436">
        <w:rPr>
          <w:rFonts w:ascii="Arial" w:hAnsi="Arial" w:cs="Arial"/>
          <w:b/>
        </w:rPr>
        <w:t>PRINCIPALI NOVITA’ DEL DL SEMPLIFICAZIONI FISCALI CONVERTITO (L. 122/2022)</w:t>
      </w:r>
    </w:p>
    <w:p w:rsidR="008539B4" w:rsidRPr="00C95436" w:rsidRDefault="008539B4" w:rsidP="00C95436">
      <w:pPr>
        <w:spacing w:line="360" w:lineRule="auto"/>
        <w:jc w:val="center"/>
        <w:rPr>
          <w:rFonts w:ascii="Arial" w:hAnsi="Arial" w:cs="Arial"/>
          <w:b/>
        </w:rPr>
      </w:pPr>
    </w:p>
    <w:p w:rsidR="006F0DDD" w:rsidRPr="00C95436" w:rsidRDefault="006F0DDD" w:rsidP="00C95436">
      <w:pPr>
        <w:spacing w:line="360" w:lineRule="auto"/>
        <w:jc w:val="both"/>
        <w:rPr>
          <w:rFonts w:ascii="Arial" w:hAnsi="Arial" w:cs="Arial"/>
        </w:rPr>
      </w:pPr>
      <w:r w:rsidRPr="00C95436">
        <w:rPr>
          <w:rFonts w:ascii="Arial" w:hAnsi="Arial" w:cs="Arial"/>
        </w:rPr>
        <w:t xml:space="preserve">Con il DL 21.6.2022 n. 73, pubblicato sulla G.U. 21.6.2022 n. 143 ed entrato in vigore il 22.6.2022, sono state emanate misure urgenti in materia di semplificazioni fiscali, disposizioni finanziarie e interventi sociali (c.d. decreto “Semplificazioni fiscali”). Il DL 21.6.2022 n. 73 è stato convertito nella L. 4.8.2022 n. 122, pubblicata sulla G.U. 19.8.2022 n. 193 ed entrata in vigore il 20.8.2022, prevedendo numerose novità rispetto al testo originario. Di seguito vengono analizzate le principali novità apportate in sede di conversione in legge del DL 73/2022. </w:t>
      </w:r>
    </w:p>
    <w:p w:rsidR="00C95436" w:rsidRPr="00C95436" w:rsidRDefault="006F0DDD" w:rsidP="00C95436">
      <w:pPr>
        <w:spacing w:line="360" w:lineRule="auto"/>
        <w:jc w:val="both"/>
        <w:rPr>
          <w:rFonts w:ascii="Arial" w:hAnsi="Arial" w:cs="Arial"/>
          <w:b/>
        </w:rPr>
      </w:pPr>
      <w:r w:rsidRPr="00C95436">
        <w:rPr>
          <w:rFonts w:ascii="Arial" w:hAnsi="Arial" w:cs="Arial"/>
          <w:b/>
        </w:rPr>
        <w:t xml:space="preserve">DETRAZIONI EDILIZIE - OPZIONE PER LO SCONTO SUL CORRISPETTIVO O LA CESSIONE DEL CREDITO - CESSIONE DEI CREDITI </w:t>
      </w:r>
    </w:p>
    <w:p w:rsidR="00C95436" w:rsidRDefault="006F0DDD" w:rsidP="00C95436">
      <w:pPr>
        <w:spacing w:line="360" w:lineRule="auto"/>
        <w:jc w:val="both"/>
        <w:rPr>
          <w:rFonts w:ascii="Arial" w:hAnsi="Arial" w:cs="Arial"/>
        </w:rPr>
      </w:pPr>
      <w:r w:rsidRPr="00C95436">
        <w:rPr>
          <w:rFonts w:ascii="Arial" w:hAnsi="Arial" w:cs="Arial"/>
        </w:rPr>
        <w:t xml:space="preserve">L’art. 40-quater del DL 73/2022, inserito in sede di conversione in legge, modifica ancora una volta la disciplina recata dall’art. 121 co. 1 del DL 34/2020 concernente la cessione dei crediti derivanti da interventi edilizi “optabili”. </w:t>
      </w:r>
    </w:p>
    <w:p w:rsidR="007C5152" w:rsidRDefault="006F0DDD" w:rsidP="00C95436">
      <w:pPr>
        <w:spacing w:line="360" w:lineRule="auto"/>
        <w:jc w:val="both"/>
        <w:rPr>
          <w:rFonts w:ascii="Arial" w:hAnsi="Arial" w:cs="Arial"/>
        </w:rPr>
      </w:pPr>
      <w:r w:rsidRPr="00C95436">
        <w:rPr>
          <w:rFonts w:ascii="Arial" w:hAnsi="Arial" w:cs="Arial"/>
        </w:rPr>
        <w:t xml:space="preserve">In sede di conversione del DL 73/2022, infatti, è stato abrogato l’art. 57 co. 3 del DL 17.5.2022 n. 50 (c.d. DL “Aiuti”) il quale stabilisce che “le disposizioni di cui all’articolo 14, comma 1, lettera b) [dello stesso DL 50/2022, n.d.r.], si applicano alle comunicazioni della prima cessione o dello sconto in fattura inviate all’Agenzia delle entrate a partire dal 1° maggio 2022”. </w:t>
      </w:r>
    </w:p>
    <w:p w:rsidR="006F0DDD" w:rsidRPr="00C95436" w:rsidRDefault="006F0DDD" w:rsidP="00C95436">
      <w:pPr>
        <w:spacing w:line="360" w:lineRule="auto"/>
        <w:jc w:val="both"/>
        <w:rPr>
          <w:rFonts w:ascii="Arial" w:hAnsi="Arial" w:cs="Arial"/>
        </w:rPr>
      </w:pPr>
      <w:r w:rsidRPr="00C95436">
        <w:rPr>
          <w:rFonts w:ascii="Arial" w:hAnsi="Arial" w:cs="Arial"/>
        </w:rPr>
        <w:t>In seguito a detta abrogazione, quindi, ai sensi dell’art. 121 co. 1 del DL 34/2020, come da ultimo modificato dall’art. 14 co. 1 lett. b) del DL 50/2022</w:t>
      </w:r>
      <w:r w:rsidRPr="00CE7C5A">
        <w:rPr>
          <w:rFonts w:ascii="Arial" w:hAnsi="Arial" w:cs="Arial"/>
          <w:b/>
          <w:u w:val="single"/>
        </w:rPr>
        <w:t>, per le comunicazioni (prima cessione o sconto in fattura) presentate anche in data anteriore all’1.5.2022, la quarta e ultima cessione può essere effettuata dalle banche</w:t>
      </w:r>
      <w:r w:rsidRPr="00C95436">
        <w:rPr>
          <w:rFonts w:ascii="Arial" w:hAnsi="Arial" w:cs="Arial"/>
        </w:rPr>
        <w:t xml:space="preserve">, ovvero dalle “società appartenenti ad un gruppo bancario iscritto </w:t>
      </w:r>
      <w:r w:rsidRPr="00C95436">
        <w:rPr>
          <w:rFonts w:ascii="Arial" w:hAnsi="Arial" w:cs="Arial"/>
        </w:rPr>
        <w:lastRenderedPageBreak/>
        <w:t>all’albo di cui all’articolo 64 del decreto legislativo 1° settembre 1993, n. 385</w:t>
      </w:r>
      <w:r w:rsidRPr="00CE7C5A">
        <w:rPr>
          <w:rFonts w:ascii="Arial" w:hAnsi="Arial" w:cs="Arial"/>
        </w:rPr>
        <w:t xml:space="preserve">” </w:t>
      </w:r>
      <w:r w:rsidRPr="00CE7C5A">
        <w:rPr>
          <w:rFonts w:ascii="Arial" w:hAnsi="Arial" w:cs="Arial"/>
          <w:b/>
        </w:rPr>
        <w:t>a favore dei “soggetti diversi dai consumatori o utenti</w:t>
      </w:r>
      <w:r w:rsidRPr="00C95436">
        <w:rPr>
          <w:rFonts w:ascii="Arial" w:hAnsi="Arial" w:cs="Arial"/>
        </w:rPr>
        <w:t xml:space="preserve">, come definiti dall’articolo 3, comma 1, lettera a), del codice del consumo, di cui al decreto legislativo 6 settembre 2005, n. 206, </w:t>
      </w:r>
      <w:r w:rsidRPr="00CE7C5A">
        <w:rPr>
          <w:rFonts w:ascii="Arial" w:hAnsi="Arial" w:cs="Arial"/>
          <w:b/>
        </w:rPr>
        <w:t>che abbiano stipulato un contratto di conto corrente con la banca stessa</w:t>
      </w:r>
      <w:r w:rsidRPr="00CE7C5A">
        <w:rPr>
          <w:rFonts w:ascii="Arial" w:hAnsi="Arial" w:cs="Arial"/>
        </w:rPr>
        <w:t xml:space="preserve">, ovvero con la banca capogruppo, senza facoltà di ulteriore cessione”, </w:t>
      </w:r>
      <w:r w:rsidRPr="00CE7C5A">
        <w:rPr>
          <w:rFonts w:ascii="Arial" w:hAnsi="Arial" w:cs="Arial"/>
          <w:b/>
          <w:u w:val="single"/>
        </w:rPr>
        <w:t>ossia a favore di tutti i soggetti diversi dalle persone fisiche che agiscono per scopi estranei all’attività imprenditoriale, commerciale, artigianale o professionale eventualmente svolta</w:t>
      </w:r>
      <w:r w:rsidRPr="00CE7C5A">
        <w:rPr>
          <w:rFonts w:ascii="Arial" w:hAnsi="Arial" w:cs="Arial"/>
        </w:rPr>
        <w:t xml:space="preserve">. La sola norma che definisce la decorrenza della modifica normativa operata </w:t>
      </w:r>
      <w:r w:rsidRPr="00C95436">
        <w:rPr>
          <w:rFonts w:ascii="Arial" w:hAnsi="Arial" w:cs="Arial"/>
        </w:rPr>
        <w:t xml:space="preserve">dall’art. 14 co. 1 lett. b) del DL 50/2022 rimane, infatti, quella recata dal co. 1-bis dell’art. 14 del DL 50/2022 (inserito in sede di conversione) ai sensi del quale “Le disposizioni di cui al comma 1, lettera b), numeri 1) e 2), si applicano anche alle cessioni o agli sconti in fattura comunicati all’Agenzia delle entrate prima della data di entrata in vigore della legge di conversione del presente decreto [fissata al 16.7.2022, n.d.r.], fermo restando il limite massimo delle cessioni di cui all’articolo 121, comma 1, lettere a) e b), del decreto-legge 19 maggio 2020, n. 34, convertito, con modificazioni, dalla legge 17 luglio 2020, n. 77”. Nella sostanza, </w:t>
      </w:r>
      <w:r w:rsidRPr="007C5152">
        <w:rPr>
          <w:rFonts w:ascii="Arial" w:hAnsi="Arial" w:cs="Arial"/>
          <w:b/>
        </w:rPr>
        <w:t>l’ampliamento della platea dei potenziali “acquirenti finali” dovrebbe valere anche per tutti i crediti di imposta “generati” da comunicazioni di opzione dello sconto in fattura</w:t>
      </w:r>
      <w:r w:rsidRPr="00C95436">
        <w:rPr>
          <w:rFonts w:ascii="Arial" w:hAnsi="Arial" w:cs="Arial"/>
        </w:rPr>
        <w:t xml:space="preserve"> </w:t>
      </w:r>
      <w:r w:rsidRPr="007C5152">
        <w:rPr>
          <w:rFonts w:ascii="Arial" w:hAnsi="Arial" w:cs="Arial"/>
          <w:b/>
        </w:rPr>
        <w:t>applicato dal fornitore, oppure di opzione della “prima cessione” effettuata direttamente dal beneficiario della detrazione, presentate telematicamente all’Agenzia delle Entrate prima del 16.7.2022 (</w:t>
      </w:r>
      <w:r w:rsidRPr="00C95436">
        <w:rPr>
          <w:rFonts w:ascii="Arial" w:hAnsi="Arial" w:cs="Arial"/>
        </w:rPr>
        <w:t xml:space="preserve">data di entrata in vigore della legge di conversione del DL 50/2022). </w:t>
      </w:r>
    </w:p>
    <w:p w:rsidR="006D4BB1" w:rsidRPr="00986BDF" w:rsidRDefault="006F0DDD" w:rsidP="00C95436">
      <w:pPr>
        <w:spacing w:line="360" w:lineRule="auto"/>
        <w:jc w:val="both"/>
        <w:rPr>
          <w:rFonts w:ascii="Arial" w:hAnsi="Arial" w:cs="Arial"/>
          <w:b/>
          <w:color w:val="FF0000"/>
          <w:u w:val="single"/>
        </w:rPr>
      </w:pPr>
      <w:r w:rsidRPr="00986BDF">
        <w:rPr>
          <w:rFonts w:ascii="Arial" w:hAnsi="Arial" w:cs="Arial"/>
          <w:b/>
          <w:color w:val="FF0000"/>
          <w:u w:val="single"/>
        </w:rPr>
        <w:t>Rimane ferma la possibilità per il beneficiario delle detrazioni fiscali di optare, in luogo della fruizione nella propria dichiarazione dei redditi, per la cessione del credito relativo alla detrazione spettante o per il c.d. “sconto sul corrispettivo”.</w:t>
      </w:r>
    </w:p>
    <w:p w:rsidR="006F0DDD" w:rsidRPr="007C5152" w:rsidRDefault="006F0DDD" w:rsidP="00C95436">
      <w:pPr>
        <w:spacing w:line="360" w:lineRule="auto"/>
        <w:jc w:val="both"/>
        <w:rPr>
          <w:rFonts w:ascii="Arial" w:hAnsi="Arial" w:cs="Arial"/>
          <w:color w:val="000000" w:themeColor="text1"/>
        </w:rPr>
      </w:pPr>
      <w:r w:rsidRPr="007C5152">
        <w:rPr>
          <w:rFonts w:ascii="Arial" w:hAnsi="Arial" w:cs="Arial"/>
          <w:color w:val="000000" w:themeColor="text1"/>
        </w:rPr>
        <w:t xml:space="preserve">Dopo una prima cessione (direttamente da parte del beneficiario oppure da parte del fornitore che ha applicato lo sconto sul corrispettivo) a favore di qualsivoglia terzo cessionario, rimangono possibili due ulteriori cessioni a favore però soltanto di “soggetti vigilati” e un’ultima cessione a favore dei correntisti. </w:t>
      </w:r>
    </w:p>
    <w:p w:rsidR="00542F9E" w:rsidRDefault="006F0DDD" w:rsidP="00C95436">
      <w:pPr>
        <w:spacing w:line="360" w:lineRule="auto"/>
        <w:jc w:val="both"/>
        <w:rPr>
          <w:rFonts w:ascii="Arial" w:hAnsi="Arial" w:cs="Arial"/>
          <w:b/>
        </w:rPr>
      </w:pPr>
      <w:r w:rsidRPr="00C95436">
        <w:rPr>
          <w:rFonts w:ascii="Arial" w:hAnsi="Arial" w:cs="Arial"/>
          <w:b/>
        </w:rPr>
        <w:t>PRESENTAZIONE DEGLI ELENCHI INTRASTAT - RIPRISTINO DEL PRECEDENTE TERMINE</w:t>
      </w:r>
    </w:p>
    <w:p w:rsidR="006F0DDD" w:rsidRPr="00C95436" w:rsidRDefault="006F0DDD" w:rsidP="00C95436">
      <w:pPr>
        <w:spacing w:line="360" w:lineRule="auto"/>
        <w:jc w:val="both"/>
        <w:rPr>
          <w:rFonts w:ascii="Arial" w:hAnsi="Arial" w:cs="Arial"/>
        </w:rPr>
      </w:pPr>
      <w:r w:rsidRPr="00C95436">
        <w:rPr>
          <w:rFonts w:ascii="Arial" w:hAnsi="Arial" w:cs="Arial"/>
        </w:rPr>
        <w:t xml:space="preserve">Per effetto delle modifiche all’art. 3 co. 2 del DL 73/2022 apportate in sede di conversione in legge, è stato </w:t>
      </w:r>
      <w:r w:rsidRPr="007C5152">
        <w:rPr>
          <w:rFonts w:ascii="Arial" w:hAnsi="Arial" w:cs="Arial"/>
          <w:b/>
          <w:color w:val="FF0000"/>
          <w:u w:val="single"/>
        </w:rPr>
        <w:t>ripristinato il termine di presentazione degli elenchi periodici INTRASTAT entro il giorno 25 del mese successivo a quello del periodo (mese o trimestre) di riferimento</w:t>
      </w:r>
      <w:r w:rsidRPr="00C95436">
        <w:rPr>
          <w:rFonts w:ascii="Arial" w:hAnsi="Arial" w:cs="Arial"/>
        </w:rPr>
        <w:t xml:space="preserve">. La versione originaria dell’art. 3 co. 2 del decreto aveva invece fissato il termine nell’ultimo giorno del mese successivo al periodo (mese o trimestre) cui gli elenchi stessi sono riferiti. Decorrenza Il ripristino del precedente termine di presentazione degli elenchi INTRASTAT è in vigore dal 20.8.2022 (data di entrata in vigore della legge di conversione del DL 73/2022). Il termine del giorno 25 del mese successivo al periodo di riferimento, pertanto, dovrebbe tornare applicabile per i termini non ancora decorsi alla suddetta data. Secondo questa impostazione, gli elenchi INTRASTAT riferiti </w:t>
      </w:r>
      <w:r w:rsidRPr="00C95436">
        <w:rPr>
          <w:rFonts w:ascii="Arial" w:hAnsi="Arial" w:cs="Arial"/>
        </w:rPr>
        <w:lastRenderedPageBreak/>
        <w:t>al mese di luglio 2022 dovrebbero quindi essere presentati entro il 25.8.2022 (e non più entro il 31.8.2022).</w:t>
      </w:r>
    </w:p>
    <w:p w:rsidR="00542F9E" w:rsidRDefault="006F0DDD" w:rsidP="00C95436">
      <w:pPr>
        <w:spacing w:line="360" w:lineRule="auto"/>
        <w:jc w:val="both"/>
        <w:rPr>
          <w:rFonts w:ascii="Arial" w:hAnsi="Arial" w:cs="Arial"/>
          <w:b/>
        </w:rPr>
      </w:pPr>
      <w:r w:rsidRPr="00542F9E">
        <w:rPr>
          <w:rFonts w:ascii="Arial" w:hAnsi="Arial" w:cs="Arial"/>
          <w:b/>
        </w:rPr>
        <w:t>REGISTRI CONTABILI TENUTI CON SISTEMI ELETTRONICI</w:t>
      </w:r>
    </w:p>
    <w:p w:rsidR="006F0DDD" w:rsidRPr="00C95436" w:rsidRDefault="006F0DDD" w:rsidP="00C95436">
      <w:pPr>
        <w:spacing w:line="360" w:lineRule="auto"/>
        <w:jc w:val="both"/>
        <w:rPr>
          <w:rFonts w:ascii="Arial" w:hAnsi="Arial" w:cs="Arial"/>
        </w:rPr>
      </w:pPr>
      <w:r w:rsidRPr="00C95436">
        <w:rPr>
          <w:rFonts w:ascii="Arial" w:hAnsi="Arial" w:cs="Arial"/>
        </w:rPr>
        <w:t xml:space="preserve">L’art. 1 co. 2-bis del DL 73/2022, inserito in sede di conversione in legge, interviene sull’art. 7 co. 4-quater del DL 357/94, norma in virtù della quale </w:t>
      </w:r>
      <w:r w:rsidRPr="00986BDF">
        <w:rPr>
          <w:rFonts w:ascii="Arial" w:hAnsi="Arial" w:cs="Arial"/>
          <w:b/>
          <w:u w:val="single"/>
        </w:rPr>
        <w:t>la tenuta di qualsiasi registro contabile</w:t>
      </w:r>
      <w:r w:rsidRPr="007C5152">
        <w:rPr>
          <w:rFonts w:ascii="Arial" w:hAnsi="Arial" w:cs="Arial"/>
          <w:b/>
        </w:rPr>
        <w:t xml:space="preserve"> con sistemi elettronici su qualsiasi supporto </w:t>
      </w:r>
      <w:r w:rsidRPr="00986BDF">
        <w:rPr>
          <w:rFonts w:ascii="Arial" w:hAnsi="Arial" w:cs="Arial"/>
          <w:b/>
          <w:u w:val="single"/>
        </w:rPr>
        <w:t>si considera regolare anche in difetto di trascrizione dei medesimi su carta nei termini di legge</w:t>
      </w:r>
      <w:r w:rsidRPr="00C95436">
        <w:rPr>
          <w:rFonts w:ascii="Arial" w:hAnsi="Arial" w:cs="Arial"/>
        </w:rPr>
        <w:t xml:space="preserve"> (ossia, entro tre mesi da quello per la presentazione della dichiarazione dei redditi), </w:t>
      </w:r>
      <w:r w:rsidRPr="007C5152">
        <w:rPr>
          <w:rFonts w:ascii="Arial" w:hAnsi="Arial" w:cs="Arial"/>
          <w:b/>
        </w:rPr>
        <w:t>a condizione che in sede di accesso, ispezione o verifica, gli stessi risultino aggiornati e vengano stampati a seguito della richiesta</w:t>
      </w:r>
      <w:r w:rsidRPr="00C95436">
        <w:rPr>
          <w:rFonts w:ascii="Arial" w:hAnsi="Arial" w:cs="Arial"/>
        </w:rPr>
        <w:t xml:space="preserve"> avanzata dagli organi procedenti e in loro presenza. Per effetto delle modifiche, la disposizione riguarda non solo più la tenuta, ma </w:t>
      </w:r>
      <w:r w:rsidRPr="007C5152">
        <w:rPr>
          <w:rFonts w:ascii="Arial" w:hAnsi="Arial" w:cs="Arial"/>
          <w:b/>
          <w:color w:val="FF0000"/>
          <w:u w:val="single"/>
        </w:rPr>
        <w:t>anche “la conservazione” dei registri contabili elettronici</w:t>
      </w:r>
      <w:r w:rsidRPr="00C95436">
        <w:rPr>
          <w:rFonts w:ascii="Arial" w:hAnsi="Arial" w:cs="Arial"/>
        </w:rPr>
        <w:t xml:space="preserve">. Inoltre, la regolarità dei registri è riconosciuta non solo più in difetto di trascrizione su supporti cartacei nei termini di legge, ma anche “di conservazione sostitutiva digitale” ai sensi del Codice dell’amministrazione digitale. Decorrenza La modifica è in vigore dal 20.8.2022, data di entrata in vigore della legge di conversione del DL 73/2022. </w:t>
      </w:r>
    </w:p>
    <w:p w:rsidR="00542F9E" w:rsidRDefault="006F0DDD" w:rsidP="00C95436">
      <w:pPr>
        <w:spacing w:line="360" w:lineRule="auto"/>
        <w:jc w:val="both"/>
        <w:rPr>
          <w:rFonts w:ascii="Arial" w:hAnsi="Arial" w:cs="Arial"/>
          <w:b/>
        </w:rPr>
      </w:pPr>
      <w:r w:rsidRPr="00542F9E">
        <w:rPr>
          <w:rFonts w:ascii="Arial" w:hAnsi="Arial" w:cs="Arial"/>
          <w:b/>
        </w:rPr>
        <w:t>RAZIONALIZZAZIONE DELLE DEDUZIONI IRAP PER LAVORO A TEMPO INDETERMINATO</w:t>
      </w:r>
    </w:p>
    <w:p w:rsidR="00542F9E" w:rsidRDefault="00542F9E" w:rsidP="00C95436">
      <w:pPr>
        <w:spacing w:line="360" w:lineRule="auto"/>
        <w:jc w:val="both"/>
        <w:rPr>
          <w:rFonts w:ascii="Arial" w:hAnsi="Arial" w:cs="Arial"/>
        </w:rPr>
      </w:pPr>
      <w:r>
        <w:rPr>
          <w:rFonts w:ascii="Arial" w:hAnsi="Arial" w:cs="Arial"/>
          <w:b/>
        </w:rPr>
        <w:t xml:space="preserve"> </w:t>
      </w:r>
      <w:r>
        <w:rPr>
          <w:rFonts w:ascii="Arial" w:hAnsi="Arial" w:cs="Arial"/>
        </w:rPr>
        <w:t xml:space="preserve">A </w:t>
      </w:r>
      <w:r w:rsidR="006F0DDD" w:rsidRPr="00C95436">
        <w:rPr>
          <w:rFonts w:ascii="Arial" w:hAnsi="Arial" w:cs="Arial"/>
        </w:rPr>
        <w:t xml:space="preserve">seguito della conversione in legge, l’art. 10 del DL 73/2022 </w:t>
      </w:r>
      <w:r w:rsidR="006F0DDD" w:rsidRPr="007C5152">
        <w:rPr>
          <w:rFonts w:ascii="Arial" w:hAnsi="Arial" w:cs="Arial"/>
          <w:b/>
        </w:rPr>
        <w:t>conferma l’indicazione semplificata, nella dichiarazione IRAP, del costo deducibile dei dipendenti a tempo indeterminato</w:t>
      </w:r>
      <w:r w:rsidR="006F0DDD" w:rsidRPr="00C95436">
        <w:rPr>
          <w:rFonts w:ascii="Arial" w:hAnsi="Arial" w:cs="Arial"/>
        </w:rPr>
        <w:t xml:space="preserve">, consentendo peraltro di compilare il modello IRAP 2022 secondo le “vecchie” regole. </w:t>
      </w:r>
    </w:p>
    <w:p w:rsidR="00542F9E" w:rsidRDefault="006F0DDD" w:rsidP="00C95436">
      <w:pPr>
        <w:spacing w:line="360" w:lineRule="auto"/>
        <w:jc w:val="both"/>
        <w:rPr>
          <w:rFonts w:ascii="Arial" w:hAnsi="Arial" w:cs="Arial"/>
        </w:rPr>
      </w:pPr>
      <w:r w:rsidRPr="00C95436">
        <w:rPr>
          <w:rFonts w:ascii="Arial" w:hAnsi="Arial" w:cs="Arial"/>
        </w:rPr>
        <w:t xml:space="preserve">In base alla disciplina vigente ante modifiche, al fine di dedurre interamente il costo dei dipendenti a tempo indeterminato, il contribuente doveva: </w:t>
      </w:r>
    </w:p>
    <w:p w:rsidR="00542F9E"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innanzitutto</w:t>
      </w:r>
      <w:proofErr w:type="gramEnd"/>
      <w:r w:rsidRPr="00C95436">
        <w:rPr>
          <w:rFonts w:ascii="Arial" w:hAnsi="Arial" w:cs="Arial"/>
        </w:rPr>
        <w:t xml:space="preserve">, applicare le deduzioni riconosciute a fronte dell’impiego di personale a tempo indeterminato già vigenti precedentemente al 2015; </w:t>
      </w:r>
    </w:p>
    <w:p w:rsidR="00542F9E"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poi</w:t>
      </w:r>
      <w:proofErr w:type="gramEnd"/>
      <w:r w:rsidRPr="00C95436">
        <w:rPr>
          <w:rFonts w:ascii="Arial" w:hAnsi="Arial" w:cs="Arial"/>
        </w:rPr>
        <w:t xml:space="preserve">, se la sommatoria delle citate deduzioni era inferiore alle spese dei dipendenti a tempo indeterminato sostenute nel periodo d’imposta, applicare l’ulteriore deduzione prevista dall’art. 11 co. 4-octies del DLgs. 446/97 fino a concorrenza dell’intero importo dell’onere sostenuto. Tale impostazione rendeva complessa la compilazione della dichiarazione IRAP, costringendo i contribuenti a scomporre l’onere complessivo sostenuto per i dipendenti a tempo indeterminato tra i diversi righi deputati all’accoglimento delle relative deduzioni. </w:t>
      </w:r>
    </w:p>
    <w:p w:rsidR="00542F9E" w:rsidRDefault="006F0DDD" w:rsidP="00C95436">
      <w:pPr>
        <w:spacing w:line="360" w:lineRule="auto"/>
        <w:jc w:val="both"/>
        <w:rPr>
          <w:rFonts w:ascii="Arial" w:hAnsi="Arial" w:cs="Arial"/>
        </w:rPr>
      </w:pPr>
      <w:r w:rsidRPr="00C95436">
        <w:rPr>
          <w:rFonts w:ascii="Arial" w:hAnsi="Arial" w:cs="Arial"/>
        </w:rPr>
        <w:t>La modifica normativa risolve alla radice ogni questione:</w:t>
      </w:r>
    </w:p>
    <w:p w:rsidR="00542F9E" w:rsidRDefault="006F0DDD" w:rsidP="00C95436">
      <w:pPr>
        <w:spacing w:line="360" w:lineRule="auto"/>
        <w:jc w:val="both"/>
        <w:rPr>
          <w:rFonts w:ascii="Arial" w:hAnsi="Arial" w:cs="Arial"/>
        </w:rPr>
      </w:pPr>
      <w:r w:rsidRPr="00C95436">
        <w:rPr>
          <w:rFonts w:ascii="Arial" w:hAnsi="Arial" w:cs="Arial"/>
        </w:rPr>
        <w:t xml:space="preserve"> </w:t>
      </w: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da</w:t>
      </w:r>
      <w:proofErr w:type="gramEnd"/>
      <w:r w:rsidRPr="00C95436">
        <w:rPr>
          <w:rFonts w:ascii="Arial" w:hAnsi="Arial" w:cs="Arial"/>
        </w:rPr>
        <w:t xml:space="preserve"> un lato, disponendo la deducibilità del costo complessivo per il personale dipendente con contratto a tempo indeterminato;</w:t>
      </w:r>
    </w:p>
    <w:p w:rsidR="00542F9E" w:rsidRDefault="006F0DDD" w:rsidP="00C95436">
      <w:pPr>
        <w:spacing w:line="360" w:lineRule="auto"/>
        <w:jc w:val="both"/>
        <w:rPr>
          <w:rFonts w:ascii="Arial" w:hAnsi="Arial" w:cs="Arial"/>
        </w:rPr>
      </w:pPr>
      <w:r w:rsidRPr="00C95436">
        <w:rPr>
          <w:rFonts w:ascii="Arial" w:hAnsi="Arial" w:cs="Arial"/>
        </w:rPr>
        <w:lastRenderedPageBreak/>
        <w:t xml:space="preserve"> </w:t>
      </w: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dall’altro</w:t>
      </w:r>
      <w:proofErr w:type="gramEnd"/>
      <w:r w:rsidRPr="00C95436">
        <w:rPr>
          <w:rFonts w:ascii="Arial" w:hAnsi="Arial" w:cs="Arial"/>
        </w:rPr>
        <w:t xml:space="preserve">, lasciando in vigore le ulteriori deduzioni soltanto con riferimento ai lavoratori assunti con differente contratto che già attualmente possono fruirne (es. addetti alla ricerca e sviluppo, apprendisti, disabili, lavoratori stagionali, ecc.). </w:t>
      </w:r>
    </w:p>
    <w:p w:rsidR="00542F9E" w:rsidRDefault="006F0DDD" w:rsidP="00542F9E">
      <w:pPr>
        <w:spacing w:line="360" w:lineRule="auto"/>
        <w:jc w:val="both"/>
        <w:rPr>
          <w:rFonts w:ascii="Arial" w:hAnsi="Arial" w:cs="Arial"/>
        </w:rPr>
      </w:pPr>
      <w:r w:rsidRPr="00C95436">
        <w:rPr>
          <w:rFonts w:ascii="Arial" w:hAnsi="Arial" w:cs="Arial"/>
        </w:rPr>
        <w:t>Le novità introdotte si applicano dal periodo d’imposta precedente a quello in corso al 22.6.2022 (data di entrata in vigore del DL 73/2022) e, dunque, dal 2021 per i soggetti “solari”, consentendo di semplificare già la compilazione della dichiarazione IRAP 2022. Peraltro, in sede di conversione in legge è stato stabilito che, per il primo anno di applicazione delle nuove disposizioni, resta possibile, ove ritenuto più agevole, compilare il modello IRAP 2022 senza considerare le modifiche introdotte (e, quindi, sulla base delle attuali is</w:t>
      </w:r>
    </w:p>
    <w:p w:rsidR="00542F9E" w:rsidRPr="00542F9E" w:rsidRDefault="006F0DDD" w:rsidP="00542F9E">
      <w:pPr>
        <w:spacing w:line="360" w:lineRule="auto"/>
        <w:jc w:val="both"/>
        <w:rPr>
          <w:rFonts w:ascii="Arial" w:hAnsi="Arial" w:cs="Arial"/>
          <w:b/>
        </w:rPr>
      </w:pPr>
      <w:r w:rsidRPr="00542F9E">
        <w:rPr>
          <w:rFonts w:ascii="Arial" w:hAnsi="Arial" w:cs="Arial"/>
          <w:b/>
        </w:rPr>
        <w:t xml:space="preserve">CORREZIONE DI ERRORI CONTABILI - RILEVANZA NEL PERIODO DI IMPUTAZIONE IN BILANCIO </w:t>
      </w:r>
    </w:p>
    <w:p w:rsidR="006F0DDD" w:rsidRPr="00C95436" w:rsidRDefault="006F0DDD" w:rsidP="00542F9E">
      <w:pPr>
        <w:spacing w:line="360" w:lineRule="auto"/>
        <w:jc w:val="both"/>
        <w:rPr>
          <w:rFonts w:ascii="Arial" w:hAnsi="Arial" w:cs="Arial"/>
        </w:rPr>
      </w:pPr>
      <w:r w:rsidRPr="00C95436">
        <w:rPr>
          <w:rFonts w:ascii="Arial" w:hAnsi="Arial" w:cs="Arial"/>
        </w:rPr>
        <w:t>L’art. 8 co. 1-bis del DL 73/2022, inserito in sede di conversione in legge, stabilisce che i componenti di reddito imputati in bilancio (a Conto economico o a Stato patrimoniale) per effetto della correzione di errori contabili assumono immediato rilievo fiscale (fatta eccezione per i componenti negativi di reddito per i quali è scaduto il termine per la presentazione della dichiarazione integrativa) nell’esercizio in cui viene corretto l’errore, non solo ai fini IRES (come inizialmente previsto dal DL 73/2022) ma anche ai fini IRAP, senza che sia, invece, necessaria (come era stato previsto dalla circ. Agenzia delle Entrate 24.9.2013 n. 31) la presentazione della dichiarazione integrativa con riferimento al periodo d’imposta in cui è stato commesso l’errore. Decorrenza La modifica si applica a partire dal periodo d’imposta in corso al 22.6.2022 e, quindi, per i soggetti con periodo d’imposta coincidente con l’anno solare, a partire dal 2022. La semplificazione sembrerebbe trovare applicazione in relazione agli errori corretti nel 2022 (per i soggetti “solari”) e relativi a componenti di reddito di competenza di precedenti esercizi.</w:t>
      </w:r>
    </w:p>
    <w:p w:rsidR="004F1650" w:rsidRPr="004F1650" w:rsidRDefault="006F0DDD" w:rsidP="00C95436">
      <w:pPr>
        <w:spacing w:line="360" w:lineRule="auto"/>
        <w:jc w:val="both"/>
        <w:rPr>
          <w:rFonts w:ascii="Arial" w:hAnsi="Arial" w:cs="Arial"/>
          <w:b/>
        </w:rPr>
      </w:pPr>
      <w:r w:rsidRPr="004F1650">
        <w:rPr>
          <w:rFonts w:ascii="Arial" w:hAnsi="Arial" w:cs="Arial"/>
          <w:b/>
        </w:rPr>
        <w:t>VALUTAZIONE DEI TITOLI ISCRITTI NELL’ATTIVO CIRCOLANTE - ISCRIZIONE ALL’ULTIMO VALORE DI BILANCIO</w:t>
      </w:r>
    </w:p>
    <w:p w:rsidR="006F0DDD" w:rsidRPr="00C95436" w:rsidRDefault="006F0DDD" w:rsidP="00C95436">
      <w:pPr>
        <w:spacing w:line="360" w:lineRule="auto"/>
        <w:jc w:val="both"/>
        <w:rPr>
          <w:rFonts w:ascii="Arial" w:hAnsi="Arial" w:cs="Arial"/>
        </w:rPr>
      </w:pPr>
      <w:r w:rsidRPr="00C95436">
        <w:rPr>
          <w:rFonts w:ascii="Arial" w:hAnsi="Arial" w:cs="Arial"/>
        </w:rPr>
        <w:t xml:space="preserve"> I co. 3-octies - 3-decies dell’art. 45 del DL 73/2022, inseriti in sede di conversione in legge, introducono una deroga ai criteri di valutazione in bilancio dei titoli iscritti nell’attivo circolante, che consente ai soggetti che redigono il bilancio secondo le disposizioni del codice civile di mantenere i medesimi valori risultanti dal bilancio precedente, evitando la svalutazione in base al valore di realizzazione desumibile dall’andamento del mercato, fatta salva l’ipotesi in cui la perdita abbia carattere durevole. Le modalità attuative contabili saranno stabilite dall’Organismo italiano di contabilità. Il regime derogatorio si applica anche alle imprese di assicurazione. In tal caso, sono previsti un apposito potere regolamentare in capo all’IVASS e specifici obblighi in merito alla distribuzione degli utili derivanti dalla mancata svalutazione. Decorrenza La deroga, prevista in considerazione dell’eccezionale situazione di turbolenza nei mercati finanziari, si applica con </w:t>
      </w:r>
      <w:r w:rsidRPr="00C95436">
        <w:rPr>
          <w:rFonts w:ascii="Arial" w:hAnsi="Arial" w:cs="Arial"/>
        </w:rPr>
        <w:lastRenderedPageBreak/>
        <w:t>riferimento all’esercizio in corso alla data di entrata in vigore del DL 73/2022 e, quindi, per i soggetti con esercizio sociale coincidente con l’anno solare, in riferimento all’esercizio 2022. La disposizione potrà, peraltro, essere prorogata, con decreto del Ministro dell’Economia e delle Finanze, in relazione all’evoluzione della situazione di turbolenza dei mercati finanziari.</w:t>
      </w:r>
    </w:p>
    <w:p w:rsidR="004F1650" w:rsidRDefault="006F0DDD" w:rsidP="00C95436">
      <w:pPr>
        <w:spacing w:line="360" w:lineRule="auto"/>
        <w:jc w:val="both"/>
        <w:rPr>
          <w:rFonts w:ascii="Arial" w:hAnsi="Arial" w:cs="Arial"/>
        </w:rPr>
      </w:pPr>
      <w:r w:rsidRPr="004F1650">
        <w:rPr>
          <w:rFonts w:ascii="Arial" w:hAnsi="Arial" w:cs="Arial"/>
          <w:b/>
        </w:rPr>
        <w:t>INFORMATIVA SULLE PROVVIDENZE PUBBLICHE - MODALITÀ E TERMINI PER L’ADEMPIMENTO</w:t>
      </w:r>
      <w:r w:rsidRPr="00C95436">
        <w:rPr>
          <w:rFonts w:ascii="Arial" w:hAnsi="Arial" w:cs="Arial"/>
        </w:rPr>
        <w:t xml:space="preserve"> </w:t>
      </w:r>
    </w:p>
    <w:p w:rsidR="006F0DDD" w:rsidRDefault="006F0DDD" w:rsidP="00C95436">
      <w:pPr>
        <w:spacing w:line="360" w:lineRule="auto"/>
        <w:jc w:val="both"/>
        <w:rPr>
          <w:rFonts w:ascii="Arial" w:hAnsi="Arial" w:cs="Arial"/>
        </w:rPr>
      </w:pPr>
      <w:r w:rsidRPr="00C95436">
        <w:rPr>
          <w:rFonts w:ascii="Arial" w:hAnsi="Arial" w:cs="Arial"/>
        </w:rPr>
        <w:t xml:space="preserve">L’art. 3 co. 6-bis del DL 73/2022 convertito integra la disciplina relativa agli </w:t>
      </w:r>
      <w:r w:rsidRPr="006F6D00">
        <w:rPr>
          <w:rFonts w:ascii="Arial" w:hAnsi="Arial" w:cs="Arial"/>
          <w:b/>
        </w:rPr>
        <w:t>obblighi di informativa sulle erogazioni pubbliche di cui all’art. 1 co. 125 ss. della L. 124/2017</w:t>
      </w:r>
      <w:r w:rsidRPr="00C95436">
        <w:rPr>
          <w:rFonts w:ascii="Arial" w:hAnsi="Arial" w:cs="Arial"/>
        </w:rPr>
        <w:t xml:space="preserve">, stabilendo che, </w:t>
      </w:r>
      <w:r w:rsidRPr="006F6D00">
        <w:rPr>
          <w:rFonts w:ascii="Arial" w:hAnsi="Arial" w:cs="Arial"/>
        </w:rPr>
        <w:t>fermo restando il termine del 30 giugno di ogni anno, previsto ai fini dell’adempimento sul sito Internet</w:t>
      </w:r>
      <w:r w:rsidR="00986BDF" w:rsidRPr="006F6D00">
        <w:rPr>
          <w:rFonts w:ascii="Arial" w:hAnsi="Arial" w:cs="Arial"/>
        </w:rPr>
        <w:t xml:space="preserve"> o in mancanza sul portale delle associazioni di categoria</w:t>
      </w:r>
      <w:r w:rsidR="006F6D00">
        <w:rPr>
          <w:rFonts w:ascii="Arial" w:hAnsi="Arial" w:cs="Arial"/>
        </w:rPr>
        <w:t xml:space="preserve"> (per tutti i soggetti non tenuta alla redazione della nota integrativa)</w:t>
      </w:r>
      <w:r w:rsidRPr="006F6D00">
        <w:rPr>
          <w:rFonts w:ascii="Arial" w:hAnsi="Arial" w:cs="Arial"/>
        </w:rPr>
        <w:t>,</w:t>
      </w:r>
      <w:r w:rsidRPr="00986BDF">
        <w:rPr>
          <w:rFonts w:ascii="Arial" w:hAnsi="Arial" w:cs="Arial"/>
          <w:color w:val="FF0000"/>
        </w:rPr>
        <w:t xml:space="preserve"> </w:t>
      </w:r>
      <w:r w:rsidRPr="00C95436">
        <w:rPr>
          <w:rFonts w:ascii="Arial" w:hAnsi="Arial" w:cs="Arial"/>
        </w:rPr>
        <w:t xml:space="preserve">per gli enti che provvedono nell’ambito della Nota integrativa del bilancio d’esercizio o di quello consolidato, il termine entro il quale provvedere all’adempimento è quello previsto per l’approvazione del bilancio. La norma sembra, quindi, prevedere, </w:t>
      </w:r>
      <w:r w:rsidRPr="00986BDF">
        <w:rPr>
          <w:rFonts w:ascii="Arial" w:hAnsi="Arial" w:cs="Arial"/>
          <w:b/>
          <w:u w:val="single"/>
        </w:rPr>
        <w:t>per i soggetti che redigono il bilancio in forma abbreviata</w:t>
      </w:r>
      <w:r w:rsidRPr="00C95436">
        <w:rPr>
          <w:rFonts w:ascii="Arial" w:hAnsi="Arial" w:cs="Arial"/>
        </w:rPr>
        <w:t xml:space="preserve"> e gli enti non commerciali, </w:t>
      </w:r>
      <w:r w:rsidRPr="00986BDF">
        <w:rPr>
          <w:rFonts w:ascii="Arial" w:hAnsi="Arial" w:cs="Arial"/>
          <w:b/>
          <w:u w:val="single"/>
        </w:rPr>
        <w:t>l’alternatività tra l’adempimento sul sito Internet e l’adempimento nella Nota integrativa</w:t>
      </w:r>
      <w:r w:rsidRPr="00C95436">
        <w:rPr>
          <w:rFonts w:ascii="Arial" w:hAnsi="Arial" w:cs="Arial"/>
        </w:rPr>
        <w:t>. Decorrenza In mancanza di una specifica norma di decorrenza, sembrerebbe logico applicare la novità alle erogazioni pubbliche percepite nel 2022, da rendicontare nel 2023.</w:t>
      </w:r>
      <w:r w:rsidR="00986BDF">
        <w:rPr>
          <w:rFonts w:ascii="Arial" w:hAnsi="Arial" w:cs="Arial"/>
        </w:rPr>
        <w:t xml:space="preserve"> </w:t>
      </w:r>
    </w:p>
    <w:p w:rsidR="00986BDF" w:rsidRDefault="00986BDF" w:rsidP="00C95436">
      <w:pPr>
        <w:spacing w:line="360" w:lineRule="auto"/>
        <w:jc w:val="both"/>
        <w:rPr>
          <w:rFonts w:ascii="Arial" w:hAnsi="Arial" w:cs="Arial"/>
          <w:b/>
          <w:color w:val="FF0000"/>
        </w:rPr>
      </w:pPr>
      <w:r w:rsidRPr="00986BDF">
        <w:rPr>
          <w:rFonts w:ascii="Arial" w:hAnsi="Arial" w:cs="Arial"/>
          <w:b/>
          <w:color w:val="FF0000"/>
        </w:rPr>
        <w:t>A tal proposito è oppurtuno ricordare che la norma prevede l’obbligo di pubblicare</w:t>
      </w:r>
      <w:r w:rsidR="006931F2">
        <w:rPr>
          <w:rFonts w:ascii="Arial" w:hAnsi="Arial" w:cs="Arial"/>
          <w:b/>
          <w:color w:val="FF0000"/>
        </w:rPr>
        <w:t>, entro il 30 giugno di ogni anno,</w:t>
      </w:r>
      <w:r w:rsidRPr="00986BDF">
        <w:rPr>
          <w:rFonts w:ascii="Arial" w:hAnsi="Arial" w:cs="Arial"/>
          <w:b/>
          <w:color w:val="FF0000"/>
        </w:rPr>
        <w:t xml:space="preserve"> sul proprio sito internet o sul portale dell’associazione di categoria, tutte le informazioni relative alle erogazioni pubbliche ricevute sotto forma di sovvenzioni, sussidi, contributi aiuti, in denaro o in natura, non aventi carattere generale di importo pari o superiore a 10.000 euro.</w:t>
      </w:r>
      <w:r w:rsidR="006F6D00">
        <w:rPr>
          <w:rFonts w:ascii="Arial" w:hAnsi="Arial" w:cs="Arial"/>
          <w:b/>
          <w:color w:val="FF0000"/>
        </w:rPr>
        <w:t xml:space="preserve"> Le imprese che hanno ricevuto aiuti di stato o de minimis possono reperire i dati dal Registro Nazionale Trasparenza e semplicemente indicare l’esistenza di tali aiuti.</w:t>
      </w:r>
    </w:p>
    <w:p w:rsidR="006F6D00" w:rsidRDefault="001E707C" w:rsidP="006F6D00">
      <w:pPr>
        <w:shd w:val="clear" w:color="auto" w:fill="FFFFFF"/>
        <w:spacing w:after="0" w:line="240" w:lineRule="auto"/>
        <w:textAlignment w:val="baseline"/>
        <w:rPr>
          <w:rFonts w:ascii="Open Sans" w:eastAsia="Times New Roman" w:hAnsi="Open Sans" w:cs="Times New Roman"/>
          <w:color w:val="000000"/>
          <w:sz w:val="24"/>
          <w:szCs w:val="24"/>
          <w:bdr w:val="none" w:sz="0" w:space="0" w:color="auto" w:frame="1"/>
          <w:lang w:eastAsia="it-IT"/>
        </w:rPr>
      </w:pPr>
      <w:hyperlink r:id="rId4" w:history="1">
        <w:r w:rsidR="006F6D00" w:rsidRPr="006E0F8B">
          <w:rPr>
            <w:rStyle w:val="Collegamentoipertestuale"/>
            <w:rFonts w:ascii="Open Sans" w:eastAsia="Times New Roman" w:hAnsi="Open Sans" w:cs="Times New Roman"/>
            <w:sz w:val="24"/>
            <w:szCs w:val="24"/>
            <w:bdr w:val="none" w:sz="0" w:space="0" w:color="auto" w:frame="1"/>
            <w:lang w:eastAsia="it-IT"/>
          </w:rPr>
          <w:t>https://www.rna.gov.it/RegistroNazionaleTrasparenza/faces/pages/TrasparenzaAiuto.jspx</w:t>
        </w:r>
      </w:hyperlink>
      <w:r w:rsidR="006F6D00" w:rsidRPr="00587B14">
        <w:rPr>
          <w:rFonts w:ascii="Open Sans" w:eastAsia="Times New Roman" w:hAnsi="Open Sans" w:cs="Times New Roman"/>
          <w:color w:val="000000"/>
          <w:sz w:val="24"/>
          <w:szCs w:val="24"/>
          <w:bdr w:val="none" w:sz="0" w:space="0" w:color="auto" w:frame="1"/>
          <w:lang w:eastAsia="it-IT"/>
        </w:rPr>
        <w:t>”</w:t>
      </w:r>
    </w:p>
    <w:p w:rsidR="006F6D00" w:rsidRPr="00986BDF" w:rsidRDefault="006F6D00" w:rsidP="00C95436">
      <w:pPr>
        <w:spacing w:line="360" w:lineRule="auto"/>
        <w:jc w:val="both"/>
        <w:rPr>
          <w:rFonts w:ascii="Arial" w:hAnsi="Arial" w:cs="Arial"/>
          <w:b/>
          <w:color w:val="FF0000"/>
        </w:rPr>
      </w:pPr>
    </w:p>
    <w:p w:rsidR="004F1650" w:rsidRPr="004F1650" w:rsidRDefault="006F0DDD" w:rsidP="00C95436">
      <w:pPr>
        <w:spacing w:line="360" w:lineRule="auto"/>
        <w:jc w:val="both"/>
        <w:rPr>
          <w:rFonts w:ascii="Arial" w:hAnsi="Arial" w:cs="Arial"/>
          <w:b/>
        </w:rPr>
      </w:pPr>
      <w:r w:rsidRPr="004F1650">
        <w:rPr>
          <w:rFonts w:ascii="Arial" w:hAnsi="Arial" w:cs="Arial"/>
          <w:b/>
        </w:rPr>
        <w:t xml:space="preserve">CONTROLLI FORMALI DELLE DICHIARAZIONI PRECOMPILATE PRESENTATE MEDIANTE PROFESSIONISTI O CAF - RIDUZIONE DAL 2023 </w:t>
      </w:r>
    </w:p>
    <w:p w:rsidR="004F1650" w:rsidRDefault="006F0DDD" w:rsidP="00C95436">
      <w:pPr>
        <w:spacing w:line="360" w:lineRule="auto"/>
        <w:jc w:val="both"/>
        <w:rPr>
          <w:rFonts w:ascii="Arial" w:hAnsi="Arial" w:cs="Arial"/>
        </w:rPr>
      </w:pPr>
      <w:r w:rsidRPr="00C95436">
        <w:rPr>
          <w:rFonts w:ascii="Arial" w:hAnsi="Arial" w:cs="Arial"/>
        </w:rPr>
        <w:t xml:space="preserve">L’art. 6 del DL 73/2022, modificato in sede di conversione in legge, prevede un’ulteriore riduzione dei controlli formali, ai sensi dell’art. 36-ter del DPR 600/73, in relazione alle dichiarazioni precompilate che vengono presentate mediante un professionista o un CAF. </w:t>
      </w:r>
    </w:p>
    <w:p w:rsidR="004F1650" w:rsidRDefault="006F0DDD" w:rsidP="00C95436">
      <w:pPr>
        <w:spacing w:line="360" w:lineRule="auto"/>
        <w:jc w:val="both"/>
        <w:rPr>
          <w:rFonts w:ascii="Arial" w:hAnsi="Arial" w:cs="Arial"/>
        </w:rPr>
      </w:pPr>
      <w:r w:rsidRPr="00C95436">
        <w:rPr>
          <w:rFonts w:ascii="Arial" w:hAnsi="Arial" w:cs="Arial"/>
        </w:rPr>
        <w:t xml:space="preserve">Viene infatti stabilito che: </w:t>
      </w:r>
    </w:p>
    <w:p w:rsidR="004F1650"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se</w:t>
      </w:r>
      <w:proofErr w:type="gramEnd"/>
      <w:r w:rsidRPr="00C95436">
        <w:rPr>
          <w:rFonts w:ascii="Arial" w:hAnsi="Arial" w:cs="Arial"/>
        </w:rPr>
        <w:t xml:space="preserve"> la dichiarazione precompilata non viene modificata, non si effettua più il controllo formale sui dati relativi agli oneri indicati nella dichiarazione precompilata forniti dai soggetti terzi; </w:t>
      </w:r>
    </w:p>
    <w:p w:rsidR="004F1650" w:rsidRDefault="006F0DDD" w:rsidP="00C95436">
      <w:pPr>
        <w:spacing w:line="360" w:lineRule="auto"/>
        <w:jc w:val="both"/>
        <w:rPr>
          <w:rFonts w:ascii="Arial" w:hAnsi="Arial" w:cs="Arial"/>
        </w:rPr>
      </w:pPr>
      <w:r w:rsidRPr="00C95436">
        <w:rPr>
          <w:rFonts w:ascii="Arial" w:hAnsi="Arial" w:cs="Arial"/>
        </w:rPr>
        <w:lastRenderedPageBreak/>
        <w:sym w:font="Symbol" w:char="F0B7"/>
      </w:r>
      <w:r w:rsidRPr="00C95436">
        <w:rPr>
          <w:rFonts w:ascii="Arial" w:hAnsi="Arial" w:cs="Arial"/>
        </w:rPr>
        <w:t xml:space="preserve"> </w:t>
      </w:r>
      <w:proofErr w:type="gramStart"/>
      <w:r w:rsidRPr="00C95436">
        <w:rPr>
          <w:rFonts w:ascii="Arial" w:hAnsi="Arial" w:cs="Arial"/>
        </w:rPr>
        <w:t>il</w:t>
      </w:r>
      <w:proofErr w:type="gramEnd"/>
      <w:r w:rsidRPr="00C95436">
        <w:rPr>
          <w:rFonts w:ascii="Arial" w:hAnsi="Arial" w:cs="Arial"/>
        </w:rPr>
        <w:t xml:space="preserve"> controllo formale, anche con riferimento ai dati relativi agli oneri forniti da soggetti terzi, indicati nella dichiarazione precompilata, avviene solo più in caso di modifiche della dichiarazione precompilata; </w:t>
      </w:r>
    </w:p>
    <w:p w:rsidR="004F1650"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il</w:t>
      </w:r>
      <w:proofErr w:type="gramEnd"/>
      <w:r w:rsidRPr="00C95436">
        <w:rPr>
          <w:rFonts w:ascii="Arial" w:hAnsi="Arial" w:cs="Arial"/>
        </w:rPr>
        <w:t xml:space="preserve"> controllo formale non è comunque effettuato sui dati delle spese sanitarie che non risultano modificati rispetto alla dichiarazione precompilata e non è più richiesta la conservazione della documentazione; </w:t>
      </w:r>
    </w:p>
    <w:p w:rsidR="004F1650"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il</w:t>
      </w:r>
      <w:proofErr w:type="gramEnd"/>
      <w:r w:rsidRPr="00C95436">
        <w:rPr>
          <w:rFonts w:ascii="Arial" w:hAnsi="Arial" w:cs="Arial"/>
        </w:rPr>
        <w:t xml:space="preserve"> professionista o il CAF deve verificare, prendendo visione della documentazione esibita dal contribuente, la corrispondenza delle spese sanitarie con gli importi aggregati in base alle tipologie di spesa utilizzati per la predisposizione della dichiarazione precompilata; </w:t>
      </w:r>
    </w:p>
    <w:p w:rsidR="004F1650"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in</w:t>
      </w:r>
      <w:proofErr w:type="gramEnd"/>
      <w:r w:rsidRPr="00C95436">
        <w:rPr>
          <w:rFonts w:ascii="Arial" w:hAnsi="Arial" w:cs="Arial"/>
        </w:rPr>
        <w:t xml:space="preserve"> caso di difformità, l’Agenzia delle Entrate effettua il controllo formale relativamente ai soli documenti di spesa che non risultano indicati nella dichiarazione precompilata. </w:t>
      </w:r>
    </w:p>
    <w:p w:rsidR="006F6D00" w:rsidRPr="00C95436" w:rsidRDefault="006F0DDD" w:rsidP="00C95436">
      <w:pPr>
        <w:spacing w:line="360" w:lineRule="auto"/>
        <w:jc w:val="both"/>
        <w:rPr>
          <w:rFonts w:ascii="Arial" w:hAnsi="Arial" w:cs="Arial"/>
        </w:rPr>
      </w:pPr>
      <w:r w:rsidRPr="00C95436">
        <w:rPr>
          <w:rFonts w:ascii="Arial" w:hAnsi="Arial" w:cs="Arial"/>
        </w:rPr>
        <w:t>Le nuove disposizioni si applicano a partire dalle dichiarazioni relative al periodo d’imposta 2022, che saranno presentate nel 2023.</w:t>
      </w:r>
    </w:p>
    <w:p w:rsidR="004F1650" w:rsidRPr="004F1650" w:rsidRDefault="006F0DDD" w:rsidP="00C95436">
      <w:pPr>
        <w:spacing w:line="360" w:lineRule="auto"/>
        <w:jc w:val="both"/>
        <w:rPr>
          <w:rFonts w:ascii="Arial" w:hAnsi="Arial" w:cs="Arial"/>
          <w:b/>
        </w:rPr>
      </w:pPr>
      <w:r w:rsidRPr="004F1650">
        <w:rPr>
          <w:rFonts w:ascii="Arial" w:hAnsi="Arial" w:cs="Arial"/>
          <w:b/>
        </w:rPr>
        <w:t>COMUNICAZIONE AL CONTRIBUENTE DELLA CONCLUSIONE DELL’ATTIVITÀ ISTRUTTORIA</w:t>
      </w:r>
    </w:p>
    <w:p w:rsidR="004F1650" w:rsidRPr="006F6D00" w:rsidRDefault="006F0DDD" w:rsidP="00C95436">
      <w:pPr>
        <w:spacing w:line="360" w:lineRule="auto"/>
        <w:jc w:val="both"/>
        <w:rPr>
          <w:rFonts w:ascii="Arial" w:hAnsi="Arial" w:cs="Arial"/>
          <w:b/>
        </w:rPr>
      </w:pPr>
      <w:r w:rsidRPr="00C95436">
        <w:rPr>
          <w:rFonts w:ascii="Arial" w:hAnsi="Arial" w:cs="Arial"/>
        </w:rPr>
        <w:t xml:space="preserve"> Con l’art. 6-bis del DL 73/2022, inserito in sede di conversione in legge, è stato modificato l’art. 6 della L. 212/2000 (Statuto del contribuente), inserendo il nuovo co. 5-bis. La nuova norma stabilisce </w:t>
      </w:r>
      <w:r w:rsidRPr="006F6D00">
        <w:rPr>
          <w:rFonts w:ascii="Arial" w:hAnsi="Arial" w:cs="Arial"/>
          <w:b/>
        </w:rPr>
        <w:t>che l’Amministrazione finanziaria ha l’obbligo di comunicare al contribuente, che sia informato dell’inizio dell’attività istruttoria, che non sono emersi elementi per procedere, entro 60 giorni dalla conclusione d</w:t>
      </w:r>
      <w:r w:rsidR="004F1650" w:rsidRPr="006F6D00">
        <w:rPr>
          <w:rFonts w:ascii="Arial" w:hAnsi="Arial" w:cs="Arial"/>
          <w:b/>
        </w:rPr>
        <w:t xml:space="preserve">ell’attività di controllo. </w:t>
      </w:r>
    </w:p>
    <w:p w:rsidR="004F1650" w:rsidRDefault="006F0DDD" w:rsidP="00C95436">
      <w:pPr>
        <w:spacing w:line="360" w:lineRule="auto"/>
        <w:jc w:val="both"/>
        <w:rPr>
          <w:rFonts w:ascii="Arial" w:hAnsi="Arial" w:cs="Arial"/>
        </w:rPr>
      </w:pPr>
      <w:r w:rsidRPr="00C95436">
        <w:rPr>
          <w:rFonts w:ascii="Arial" w:hAnsi="Arial" w:cs="Arial"/>
        </w:rPr>
        <w:t>Per esplicita previsione normativa, tale comunicazione non si applica alle liquidazioni di cui agli artt. 36-bis del DPR 600/73 e 54-bis del DPR 633/72 (liquidazione automatica delle dichiarazioni). In generale, il nuovo obbligo di comunicazione dovrebbe, invece, riguardare qualsiasi attività che rientri nei poteri di controllo che possono essere esercitati dall’Amministrazione finanziaria riconducibili all’art. 32 del DPR 600/73 e che prevedono una comunicazione “preventiva”, come nel caso in cui al contribuente sia inviata una richiesta, un invito o altro atto che lo renda edotto dell’inizio dell’attività istruttoria nei suoi confronti. Si pensi, a titolo esemplificativo, agli inviti a comparire o all’invio di un questionario.</w:t>
      </w:r>
    </w:p>
    <w:p w:rsidR="004F1650" w:rsidRDefault="006F0DDD" w:rsidP="00C95436">
      <w:pPr>
        <w:spacing w:line="360" w:lineRule="auto"/>
        <w:jc w:val="both"/>
        <w:rPr>
          <w:rFonts w:ascii="Arial" w:hAnsi="Arial" w:cs="Arial"/>
        </w:rPr>
      </w:pPr>
      <w:r w:rsidRPr="00C95436">
        <w:rPr>
          <w:rFonts w:ascii="Arial" w:hAnsi="Arial" w:cs="Arial"/>
        </w:rPr>
        <w:t xml:space="preserve">La comunicazione della conclusione dell’attività istruttoria: </w:t>
      </w:r>
    </w:p>
    <w:p w:rsidR="004F1650"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è</w:t>
      </w:r>
      <w:proofErr w:type="gramEnd"/>
      <w:r w:rsidRPr="00C95436">
        <w:rPr>
          <w:rFonts w:ascii="Arial" w:hAnsi="Arial" w:cs="Arial"/>
        </w:rPr>
        <w:t xml:space="preserve"> inviata con modalità semplificata; </w:t>
      </w:r>
    </w:p>
    <w:p w:rsidR="004F1650"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non</w:t>
      </w:r>
      <w:proofErr w:type="gramEnd"/>
      <w:r w:rsidRPr="00C95436">
        <w:rPr>
          <w:rFonts w:ascii="Arial" w:hAnsi="Arial" w:cs="Arial"/>
        </w:rPr>
        <w:t xml:space="preserve"> pregiudica l’esercizio successivo di ulteriore attività di controllo. </w:t>
      </w:r>
    </w:p>
    <w:p w:rsidR="004F1650" w:rsidRDefault="006F0DDD" w:rsidP="00C95436">
      <w:pPr>
        <w:spacing w:line="360" w:lineRule="auto"/>
        <w:jc w:val="both"/>
        <w:rPr>
          <w:rFonts w:ascii="Arial" w:hAnsi="Arial" w:cs="Arial"/>
        </w:rPr>
      </w:pPr>
      <w:r w:rsidRPr="00C95436">
        <w:rPr>
          <w:rFonts w:ascii="Arial" w:hAnsi="Arial" w:cs="Arial"/>
        </w:rPr>
        <w:lastRenderedPageBreak/>
        <w:t xml:space="preserve">La nuova norma prevede che con apposito provvedimento dell’Agenzia delle Entrate verranno definiti: </w:t>
      </w:r>
    </w:p>
    <w:p w:rsidR="004F1650"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i</w:t>
      </w:r>
      <w:proofErr w:type="gramEnd"/>
      <w:r w:rsidRPr="00C95436">
        <w:rPr>
          <w:rFonts w:ascii="Arial" w:hAnsi="Arial" w:cs="Arial"/>
        </w:rPr>
        <w:t xml:space="preserve"> canali attraverso i quali la comunicazione sarà resa; </w:t>
      </w:r>
    </w:p>
    <w:p w:rsidR="006F6D00" w:rsidRPr="00C95436"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le</w:t>
      </w:r>
      <w:proofErr w:type="gramEnd"/>
      <w:r w:rsidRPr="00C95436">
        <w:rPr>
          <w:rFonts w:ascii="Arial" w:hAnsi="Arial" w:cs="Arial"/>
        </w:rPr>
        <w:t xml:space="preserve"> modalità con le quali il contribuente dovrà comunicare all’Amministrazione finanziaria i propri dati e scegliere come intenda ricevere la comunicazione. Al riguardo, la norma stabilisce che i contribuenti che abbiano un’utenza mobile potranno riceverla anche mediante messaggi di testo, o l’utilizzo dell’App “IO”, o mediante posta elettronica semplice o certificata.</w:t>
      </w:r>
    </w:p>
    <w:p w:rsidR="006F6D00" w:rsidRPr="006F6D00" w:rsidRDefault="006F0DDD" w:rsidP="00C95436">
      <w:pPr>
        <w:spacing w:line="360" w:lineRule="auto"/>
        <w:jc w:val="both"/>
        <w:rPr>
          <w:rFonts w:ascii="Arial" w:hAnsi="Arial" w:cs="Arial"/>
          <w:b/>
        </w:rPr>
      </w:pPr>
      <w:r w:rsidRPr="006F6D00">
        <w:rPr>
          <w:rFonts w:ascii="Arial" w:hAnsi="Arial" w:cs="Arial"/>
          <w:b/>
        </w:rPr>
        <w:t xml:space="preserve">DISCIPLINA DEI VERSAMENTI E DELLA COMPENSAZIONE CON IL MODELLO F24 - ESTENSIONE </w:t>
      </w:r>
    </w:p>
    <w:p w:rsidR="006F0DDD" w:rsidRPr="00C95436" w:rsidRDefault="006F0DDD" w:rsidP="00C95436">
      <w:pPr>
        <w:spacing w:line="360" w:lineRule="auto"/>
        <w:jc w:val="both"/>
        <w:rPr>
          <w:rFonts w:ascii="Arial" w:hAnsi="Arial" w:cs="Arial"/>
        </w:rPr>
      </w:pPr>
      <w:r w:rsidRPr="00C95436">
        <w:rPr>
          <w:rFonts w:ascii="Arial" w:hAnsi="Arial" w:cs="Arial"/>
        </w:rPr>
        <w:t>L’art. 3-bis del DL 73/2022, inserito in sede di conversione in legge, prevede la possibilità per i contribuenti di effettuare versamenti unitari di qualsiasi imposta, tassa o contributo, comunque denominati, spettanti allo Stato, agli enti territoriali e agli enti previdenziali, secondo la disciplina dei versamenti e della compensazione mediante il modello F24, ai sensi dell’art. 17 del DLgs. 241/97. Decorrenza L’art. 3-bis del DL 73/2022 convertito sarà applicabile a decorrere dalla data di entrata in vigore di un decreto del Ministro dell’Economia e delle Finanze, il quale individuerà e disciplinerà le tipologie di versamenti effettuabili con il modello F24, con utilizzo dei crediti in compensazione, che non siano già compresi nella disciplina di cui all’art. 17 del DLgs. 241/97.</w:t>
      </w:r>
    </w:p>
    <w:p w:rsidR="006F6D00" w:rsidRPr="006F6D00" w:rsidRDefault="006F0DDD" w:rsidP="00C95436">
      <w:pPr>
        <w:spacing w:line="360" w:lineRule="auto"/>
        <w:jc w:val="both"/>
        <w:rPr>
          <w:rFonts w:ascii="Arial" w:hAnsi="Arial" w:cs="Arial"/>
          <w:b/>
        </w:rPr>
      </w:pPr>
      <w:r w:rsidRPr="006F6D00">
        <w:rPr>
          <w:rFonts w:ascii="Arial" w:hAnsi="Arial" w:cs="Arial"/>
          <w:b/>
        </w:rPr>
        <w:t xml:space="preserve">ATTESTAZIONE DEI CONTRATTI A CANONE CONCORDATO </w:t>
      </w:r>
    </w:p>
    <w:p w:rsidR="00E35BF4" w:rsidRDefault="006F0DDD" w:rsidP="00C95436">
      <w:pPr>
        <w:spacing w:line="360" w:lineRule="auto"/>
        <w:jc w:val="both"/>
        <w:rPr>
          <w:rFonts w:ascii="Arial" w:hAnsi="Arial" w:cs="Arial"/>
        </w:rPr>
      </w:pPr>
      <w:r w:rsidRPr="00C95436">
        <w:rPr>
          <w:rFonts w:ascii="Arial" w:hAnsi="Arial" w:cs="Arial"/>
        </w:rPr>
        <w:t>L’art. 7 del DL 73/2022 convertito estende la validità dell’attestazione relativa ai contratti di locazione “concordati”, di modo che essa possa valere, a determinate condizioni, anche per più contratti aventi ad oggetto il medesimo immobile purché, come precisato in sede di conversione in legge, i contratti abbiano il me</w:t>
      </w:r>
      <w:r w:rsidR="00E35BF4">
        <w:rPr>
          <w:rFonts w:ascii="Arial" w:hAnsi="Arial" w:cs="Arial"/>
        </w:rPr>
        <w:t xml:space="preserve">desimo contenuto. </w:t>
      </w:r>
      <w:r w:rsidRPr="00C95436">
        <w:rPr>
          <w:rFonts w:ascii="Arial" w:hAnsi="Arial" w:cs="Arial"/>
        </w:rPr>
        <w:t xml:space="preserve">A seguito dell’entrata in vigore del DM 16.1.2017, per poter applicare le agevolazioni fiscali previste per i contratti di locazione a canone concordato (tra cui, ad esempio, l’aliquota del 10% della cedolare secca o la riduzione della base imponibile IRPEF del 30%) è necessario, alternativamente: </w:t>
      </w:r>
    </w:p>
    <w:p w:rsidR="00E35BF4"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che</w:t>
      </w:r>
      <w:proofErr w:type="gramEnd"/>
      <w:r w:rsidRPr="00C95436">
        <w:rPr>
          <w:rFonts w:ascii="Arial" w:hAnsi="Arial" w:cs="Arial"/>
        </w:rPr>
        <w:t xml:space="preserve"> il contratto di locazione sia stipulato con l’assistenza delle rispettive organizzazioni della proprietà edilizia e dei conduttori; </w:t>
      </w:r>
    </w:p>
    <w:p w:rsidR="006931F2"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che</w:t>
      </w:r>
      <w:proofErr w:type="gramEnd"/>
      <w:r w:rsidRPr="00C95436">
        <w:rPr>
          <w:rFonts w:ascii="Arial" w:hAnsi="Arial" w:cs="Arial"/>
        </w:rPr>
        <w:t xml:space="preserve"> i contratti stipulati senza l’assistenza delle organizzazioni della proprietà edilizia e dei conduttori siano corredati da un’attestazione, rilasciata da una delle organizzazioni firmatarie dell’accordo territoriale, che confermi la rispondenza del contenuto economico e normativo del contratto all’Accordo territoriale. </w:t>
      </w:r>
    </w:p>
    <w:p w:rsidR="006F0DDD" w:rsidRPr="00C95436" w:rsidRDefault="006F0DDD" w:rsidP="00C95436">
      <w:pPr>
        <w:spacing w:line="360" w:lineRule="auto"/>
        <w:jc w:val="both"/>
        <w:rPr>
          <w:rFonts w:ascii="Arial" w:hAnsi="Arial" w:cs="Arial"/>
        </w:rPr>
      </w:pPr>
      <w:r w:rsidRPr="00C95436">
        <w:rPr>
          <w:rFonts w:ascii="Arial" w:hAnsi="Arial" w:cs="Arial"/>
        </w:rPr>
        <w:t xml:space="preserve">Fino all’entrata in vigore del DL 73/2022, l’attestazione aveva validità per il singolo contratto per il quale era stata richiesta. Per effetto dall’art. 7 del DL 73/2022, come integrato in sede di conversione, </w:t>
      </w:r>
      <w:r w:rsidRPr="00C95436">
        <w:rPr>
          <w:rFonts w:ascii="Arial" w:hAnsi="Arial" w:cs="Arial"/>
        </w:rPr>
        <w:lastRenderedPageBreak/>
        <w:t>la stessa attestazione “può essere fatta valere per tutti i contratti di locazione, stipulati successivamente al suo rilascio, aventi il medesimo contenuto del contratto per cui è stata rilasciata, fino ad eventuali variazioni delle caratteristiche dell’immobile o dell’Accordo territoriale del Comune a cui essa si riferisce”. Pertanto, la medesima attestazione può valere anche per più contratti stipulati per il medesimo immobile, purché non siano variate le condizioni dell’immobile, né l’Accordo territoriale. In sede di conversione è stato precisato che l’attestazione potrà valere per i contratti successivi a quello per cui essa è stata rilasciata, a condizione che abbiano il medesimo contenuto del contratto originario.</w:t>
      </w:r>
    </w:p>
    <w:p w:rsidR="006931F2" w:rsidRPr="006931F2" w:rsidRDefault="006F0DDD" w:rsidP="00C95436">
      <w:pPr>
        <w:spacing w:line="360" w:lineRule="auto"/>
        <w:jc w:val="both"/>
        <w:rPr>
          <w:rFonts w:ascii="Arial" w:hAnsi="Arial" w:cs="Arial"/>
          <w:b/>
        </w:rPr>
      </w:pPr>
      <w:r w:rsidRPr="006931F2">
        <w:rPr>
          <w:rFonts w:ascii="Arial" w:hAnsi="Arial" w:cs="Arial"/>
          <w:b/>
        </w:rPr>
        <w:t xml:space="preserve">INCENTIVI PER L’ACQUISTO DI VEICOLI NON INQUINANTI - MODIFICA DELLE RISORSE ASSEGNATE </w:t>
      </w:r>
    </w:p>
    <w:p w:rsidR="006931F2" w:rsidRDefault="006F0DDD" w:rsidP="00C95436">
      <w:pPr>
        <w:spacing w:line="360" w:lineRule="auto"/>
        <w:jc w:val="both"/>
        <w:rPr>
          <w:rFonts w:ascii="Arial" w:hAnsi="Arial" w:cs="Arial"/>
        </w:rPr>
      </w:pPr>
      <w:r w:rsidRPr="00C95436">
        <w:rPr>
          <w:rFonts w:ascii="Arial" w:hAnsi="Arial" w:cs="Arial"/>
        </w:rPr>
        <w:t xml:space="preserve">L’art. 40-bis, introdotto dalla legge di conversione del DL 73/2022, stabilisce che per l’anno 2022 sono rimodulate le risorse assegnate con il DPCM 6.4.2022 per gli incentivi per l’acquisto di veicoli non inquinanti. Conseguentemente, per l’anno 2022, sono: </w:t>
      </w:r>
    </w:p>
    <w:p w:rsidR="006931F2"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ridotte</w:t>
      </w:r>
      <w:proofErr w:type="gramEnd"/>
      <w:r w:rsidRPr="00C95436">
        <w:rPr>
          <w:rFonts w:ascii="Arial" w:hAnsi="Arial" w:cs="Arial"/>
        </w:rPr>
        <w:t xml:space="preserve"> di 20 milioni di euro le risorse destinate agli incentivi previsti dall’art. 2 co. 1 lett. b) del DPCM 6.4.2022 per le persone fisiche che acquistano ed immatricolano in Italia veicoli di categoria M1 nuovi di fabbrica omologati in una classe non inferiore ad Euro 6, con emissioni di anidride carbonica (CO2) comprese nella fascia 21-60 grammi per chilometro; </w:t>
      </w:r>
    </w:p>
    <w:p w:rsidR="006F0DDD" w:rsidRDefault="006F0DDD" w:rsidP="00C95436">
      <w:pPr>
        <w:spacing w:line="360" w:lineRule="auto"/>
        <w:jc w:val="both"/>
        <w:rPr>
          <w:rFonts w:ascii="Arial" w:hAnsi="Arial" w:cs="Arial"/>
        </w:rPr>
      </w:pPr>
      <w:r w:rsidRPr="00C95436">
        <w:rPr>
          <w:rFonts w:ascii="Arial" w:hAnsi="Arial" w:cs="Arial"/>
        </w:rPr>
        <w:sym w:font="Symbol" w:char="F0B7"/>
      </w:r>
      <w:r w:rsidRPr="00C95436">
        <w:rPr>
          <w:rFonts w:ascii="Arial" w:hAnsi="Arial" w:cs="Arial"/>
        </w:rPr>
        <w:t xml:space="preserve"> </w:t>
      </w:r>
      <w:proofErr w:type="gramStart"/>
      <w:r w:rsidRPr="00C95436">
        <w:rPr>
          <w:rFonts w:ascii="Arial" w:hAnsi="Arial" w:cs="Arial"/>
        </w:rPr>
        <w:t>incrementate</w:t>
      </w:r>
      <w:proofErr w:type="gramEnd"/>
      <w:r w:rsidRPr="00C95436">
        <w:rPr>
          <w:rFonts w:ascii="Arial" w:hAnsi="Arial" w:cs="Arial"/>
        </w:rPr>
        <w:t xml:space="preserve"> di 20 milioni di euro le risorse destinate agli incentivi previsti dall’art. 2 co. 1 lett. e) del DPCM 6.4.2022, che riconosce un contributo del 30% (o del 40% con rottamazione) del prezzo di acquisto dei veicoli elettrici nuovi di fabbrica delle categorie L1e, L2e, L3e, L4e, L5e, L6e e L7e.</w:t>
      </w:r>
    </w:p>
    <w:p w:rsidR="00096C7E" w:rsidRPr="00BE4485" w:rsidRDefault="00096C7E" w:rsidP="00C95436">
      <w:pPr>
        <w:spacing w:line="360" w:lineRule="auto"/>
        <w:jc w:val="both"/>
        <w:rPr>
          <w:rFonts w:ascii="Arial" w:hAnsi="Arial" w:cs="Arial"/>
          <w:b/>
        </w:rPr>
      </w:pPr>
      <w:r w:rsidRPr="00BE4485">
        <w:rPr>
          <w:rFonts w:ascii="Arial" w:hAnsi="Arial" w:cs="Arial"/>
          <w:b/>
        </w:rPr>
        <w:t>Sono in arrivo novità per l’acquisto di auto ibride e elettriche, per gli acquirenti con ISEE fino a 30.000 euro. Sono previsti</w:t>
      </w:r>
      <w:r w:rsidR="005C1118" w:rsidRPr="00BE4485">
        <w:rPr>
          <w:rFonts w:ascii="Arial" w:hAnsi="Arial" w:cs="Arial"/>
          <w:b/>
        </w:rPr>
        <w:t xml:space="preserve"> aumenti del 50% sugli incentivi attualmente operativi sull’acquisto di auto non inquinanti. Si attenda conferma delle misure in GU.</w:t>
      </w:r>
    </w:p>
    <w:p w:rsidR="006931F2" w:rsidRPr="006931F2" w:rsidRDefault="006F0DDD" w:rsidP="00C95436">
      <w:pPr>
        <w:spacing w:line="360" w:lineRule="auto"/>
        <w:jc w:val="both"/>
        <w:rPr>
          <w:rFonts w:ascii="Arial" w:hAnsi="Arial" w:cs="Arial"/>
          <w:b/>
        </w:rPr>
      </w:pPr>
      <w:r w:rsidRPr="006931F2">
        <w:rPr>
          <w:rFonts w:ascii="Arial" w:hAnsi="Arial" w:cs="Arial"/>
          <w:b/>
        </w:rPr>
        <w:t xml:space="preserve">VENDITA DIRETTA DI IMMOBILI NEL CORSO DELLE PROCEDURE DI RISCOSSIONE DEI TRIBUTI </w:t>
      </w:r>
    </w:p>
    <w:p w:rsidR="00BE4485" w:rsidRDefault="006F0DDD" w:rsidP="00C95436">
      <w:pPr>
        <w:spacing w:line="360" w:lineRule="auto"/>
        <w:jc w:val="both"/>
        <w:rPr>
          <w:rFonts w:ascii="Arial" w:hAnsi="Arial" w:cs="Arial"/>
        </w:rPr>
      </w:pPr>
      <w:r w:rsidRPr="00C95436">
        <w:rPr>
          <w:rFonts w:ascii="Arial" w:hAnsi="Arial" w:cs="Arial"/>
        </w:rPr>
        <w:t xml:space="preserve">L’art. 6-ter del DL 73/2022, inserito in sede di conversione in legge, ha modificato la disciplina in materia di procedure di riscossione coattiva dei tributi. </w:t>
      </w:r>
    </w:p>
    <w:p w:rsidR="00BE4485" w:rsidRDefault="006F0DDD" w:rsidP="00C95436">
      <w:pPr>
        <w:spacing w:line="360" w:lineRule="auto"/>
        <w:jc w:val="both"/>
        <w:rPr>
          <w:rFonts w:ascii="Arial" w:hAnsi="Arial" w:cs="Arial"/>
        </w:rPr>
      </w:pPr>
      <w:r w:rsidRPr="00C95436">
        <w:rPr>
          <w:rFonts w:ascii="Arial" w:hAnsi="Arial" w:cs="Arial"/>
        </w:rPr>
        <w:t xml:space="preserve">PROCEDURA DI VENDITA DIRETTA DI IMMOBILI PRIVI DI RENDITA CATASTALE </w:t>
      </w:r>
    </w:p>
    <w:p w:rsidR="006F0DDD" w:rsidRDefault="006F0DDD" w:rsidP="00C95436">
      <w:pPr>
        <w:spacing w:line="360" w:lineRule="auto"/>
        <w:jc w:val="both"/>
        <w:rPr>
          <w:rFonts w:ascii="Arial" w:hAnsi="Arial" w:cs="Arial"/>
        </w:rPr>
      </w:pPr>
      <w:r w:rsidRPr="00C95436">
        <w:rPr>
          <w:rFonts w:ascii="Arial" w:hAnsi="Arial" w:cs="Arial"/>
        </w:rPr>
        <w:t xml:space="preserve">In base a quanto previsto all’art. 52 del DPR 602/73, in caso di procedura di riscossione coattiva, il debitore può procedere alla vendita diretta del bene pignorato o ipotecato secondo le modalità previste al co. 2-bis. L’art. 6-ter del DL 73/2022 convertito, introducendo il co. 2-quinquies all’art. 52 del DPR 602/73, prevede una disciplina derogatoria ed opzionale a quella del co. 2-bis nel caso in cui la vendita riguardi immobili censibili nel catasto edilizio urbano senza attribuzione di rendita catastale, quali fabbricati in corso di costruzione, fabbricati collabenti, fabbricati in corso di </w:t>
      </w:r>
      <w:r w:rsidRPr="00C95436">
        <w:rPr>
          <w:rFonts w:ascii="Arial" w:hAnsi="Arial" w:cs="Arial"/>
        </w:rPr>
        <w:lastRenderedPageBreak/>
        <w:t>definizione. In questa ipotesi il debitore ha facoltà di procedere alla vendita del bene, con il consenso dell’Agente della riscossione, al valore determinato da perizia inoppugnabile, effettuata dall’Agenzia delle Entrate. La perizia è effettuata in base agli accordi e nei termini ivi stabiliti, stipulati con l’Agente della riscossione ai sensi dell’art. 64 co. 3-bis del DLgs. 300/99. La richiesta di perizia è presentata dal debitore all’Agente della riscossione e il rimborso dei costi sostenuti per la sua effettuazione è posto a carico del debitore ed è versato all’Agente, unitamente al corrispettivo della vendita del bene ovvero, in mancanza di vendita, entro il termine di 90 giorni dalla consegna della perizia. Decorso tale termine, in caso di mancato pagamento, l’Agente della riscossione può procedere alla riscossione coattiva delle somme dovute, unitamente alle s</w:t>
      </w:r>
      <w:r w:rsidR="00BE4485">
        <w:rPr>
          <w:rFonts w:ascii="Arial" w:hAnsi="Arial" w:cs="Arial"/>
        </w:rPr>
        <w:t xml:space="preserve">pese esecutive. </w:t>
      </w:r>
      <w:r w:rsidRPr="00C95436">
        <w:rPr>
          <w:rFonts w:ascii="Arial" w:hAnsi="Arial" w:cs="Arial"/>
        </w:rPr>
        <w:t>Le modifiche introdotte dall’art. 6-ter del DL 73/2022 convertito si applicano anche ai procedimenti in corso al 20.8.2022 (data di entrata in vigore della legge di conversione).</w:t>
      </w:r>
    </w:p>
    <w:p w:rsidR="008539B4" w:rsidRDefault="008539B4" w:rsidP="00C95436">
      <w:pPr>
        <w:spacing w:line="360" w:lineRule="auto"/>
        <w:jc w:val="both"/>
        <w:rPr>
          <w:rFonts w:ascii="Arial" w:hAnsi="Arial" w:cs="Arial"/>
        </w:rPr>
      </w:pPr>
    </w:p>
    <w:p w:rsidR="008539B4" w:rsidRDefault="008539B4" w:rsidP="00C95436">
      <w:pPr>
        <w:spacing w:line="360" w:lineRule="auto"/>
        <w:jc w:val="both"/>
        <w:rPr>
          <w:rFonts w:ascii="Arial" w:hAnsi="Arial" w:cs="Arial"/>
        </w:rPr>
      </w:pPr>
      <w:r>
        <w:rPr>
          <w:rFonts w:ascii="Arial" w:hAnsi="Arial" w:cs="Arial"/>
        </w:rPr>
        <w:t>Cordiali saluti</w:t>
      </w:r>
    </w:p>
    <w:p w:rsidR="008539B4" w:rsidRPr="00C95436" w:rsidRDefault="008539B4" w:rsidP="00C95436">
      <w:pPr>
        <w:spacing w:line="360" w:lineRule="auto"/>
        <w:jc w:val="both"/>
        <w:rPr>
          <w:rFonts w:ascii="Arial" w:hAnsi="Arial" w:cs="Arial"/>
        </w:rPr>
      </w:pPr>
      <w:r>
        <w:rPr>
          <w:rFonts w:ascii="Arial" w:hAnsi="Arial" w:cs="Arial"/>
        </w:rPr>
        <w:t>Studio D’Agostino</w:t>
      </w:r>
    </w:p>
    <w:p w:rsidR="006F0DDD" w:rsidRPr="00C95436" w:rsidRDefault="006F0DDD" w:rsidP="00C95436">
      <w:pPr>
        <w:spacing w:line="360" w:lineRule="auto"/>
        <w:jc w:val="both"/>
        <w:rPr>
          <w:rFonts w:ascii="Arial" w:hAnsi="Arial" w:cs="Arial"/>
        </w:rPr>
      </w:pPr>
    </w:p>
    <w:sectPr w:rsidR="006F0DDD" w:rsidRPr="00C954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PUbGqbIpJnwmY3tLz1G4XSbo80hpa7fIxuW88dLAet8bVX9fKZMHtJ22KxWh5QSc8VcTIK4YIPfijc6zX/fd8g==" w:salt="6vo2FGMSNc8sNkPhFyMWr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DD"/>
    <w:rsid w:val="00096C7E"/>
    <w:rsid w:val="001C6D71"/>
    <w:rsid w:val="001E707C"/>
    <w:rsid w:val="00472A93"/>
    <w:rsid w:val="004F1650"/>
    <w:rsid w:val="00542F9E"/>
    <w:rsid w:val="005C1118"/>
    <w:rsid w:val="006931F2"/>
    <w:rsid w:val="006F0DDD"/>
    <w:rsid w:val="006F6D00"/>
    <w:rsid w:val="007C5152"/>
    <w:rsid w:val="008539B4"/>
    <w:rsid w:val="00986BDF"/>
    <w:rsid w:val="00BE4485"/>
    <w:rsid w:val="00C21A85"/>
    <w:rsid w:val="00C95436"/>
    <w:rsid w:val="00CE7C5A"/>
    <w:rsid w:val="00E35BF4"/>
    <w:rsid w:val="00ED5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9BF7-1A0E-4F17-83E8-4D568458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6D00"/>
    <w:rPr>
      <w:color w:val="0563C1" w:themeColor="hyperlink"/>
      <w:u w:val="single"/>
    </w:rPr>
  </w:style>
  <w:style w:type="paragraph" w:styleId="Testofumetto">
    <w:name w:val="Balloon Text"/>
    <w:basedOn w:val="Normale"/>
    <w:link w:val="TestofumettoCarattere"/>
    <w:uiPriority w:val="99"/>
    <w:semiHidden/>
    <w:unhideWhenUsed/>
    <w:rsid w:val="001E70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na.gov.it/RegistroNazionaleTrasparenza/faces/pages/TrasparenzaAiuto.j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3500</Words>
  <Characters>19950</Characters>
  <Application>Microsoft Office Word</Application>
  <DocSecurity>8</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7</cp:revision>
  <cp:lastPrinted>2022-09-01T07:36:00Z</cp:lastPrinted>
  <dcterms:created xsi:type="dcterms:W3CDTF">2022-08-31T07:10:00Z</dcterms:created>
  <dcterms:modified xsi:type="dcterms:W3CDTF">2022-09-01T08:41:00Z</dcterms:modified>
</cp:coreProperties>
</file>